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TU10.035892 vom 24. Mai 2011</w:t>
      </w:r>
    </w:p>
    <w:p>
      <w:r>
        <w:t>VD Tribunal cantonal, 2011-05-24, FR</w:t>
      </w:r>
    </w:p>
    <w:p>
      <w:r>
        <w:rPr>
          <w:b/>
        </w:rPr>
        <w:t xml:space="preserve">Quelle: </w:t>
      </w:r>
      <w:r>
        <w:t>https://mcp.opencaselaw.ch/entscheid/vd_gerichte_TU10.035892</w:t>
      </w:r>
    </w:p>
    <w:p>
      <w:r>
        <w:t>FR: VD_GERICHTE TU10.035892 du 24 mai 2011</w:t>
      </w:r>
    </w:p>
    <w:p>
      <w:r>
        <w:t>IT: VD_GERICHTE TU10.035892 del 24 maggio 2011</w:t>
      </w:r>
    </w:p>
    <w:p>
      <w:pPr>
        <w:pStyle w:val="Heading2"/>
      </w:pPr>
      <w:r>
        <w:t>Erwägungen</w:t>
      </w:r>
    </w:p>
    <w:p>
      <w:r>
        <w:rPr>
          <w:b/>
        </w:rPr>
        <w:t>E. 1</w:t>
      </w:r>
    </w:p>
    <w:p>
      <w:r>
        <w:t>O.________, né le [...], de nationalité canadienne, et I.________ le [...], originaire de Littau LU, se sont mariés le 17 septembre 1999 à Chexbres VD. Ils sont les parents de [...], née le [...], et de [...], né le [...]. Le 15 janvier 2010, les époux ont signé une convention, ratifiée pour valoir prononcé de mesures protectrices de l'union conjugale, aux termes de laquelle ils se sont autorisés à vivre séparés pour une durée indéterminée, sont convenus d'attribuer la garde des enfants à leur mère, sous réserve du droit de visite du père, I.________ renonçant provisoirement à toute contribution d'entretien en leur faveur dès lors que O.________ était au bénéfice du revenu d'insertion (ci-après : RI). L'accord précisait enfin que le mari s'engageait à informer immédiatement son épouse si son revenu devait dépasser le minimum vital.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en droit ainsi défini s'applique même si la décision attaquée est de nature provisionnelle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w:t>
      </w:r>
    </w:p>
    <w:p>
      <w:r>
        <w:t>- 7 - nouveaux et motiver spécialement les raisons qui les rendent admissibles selon lui (Tappy, ibid. pp. 136-137).</w:t>
      </w:r>
    </w:p>
    <w:p>
      <w:r>
        <w:rPr>
          <w:b/>
        </w:rPr>
        <w:t>E. 1.3</w:t>
      </w:r>
    </w:p>
    <w:p>
      <w:r>
        <w:t>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Schweizerischen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 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JT 2010 III 15; Hohl, Procédure civile Tome II, 2ème éd., n. 2410 p. 437). 2. 2.1 L'appelant soutient qu'il n'y aurait aucune raison particulière de prévoir, comme l'a fait le premier juge, la rétroactivité des contributions d'entretien antérieurement au dépôt de la requête de mesures provisionnelles. Selon l'art. 137 al. 2 CC (Code civil suisse du 10 décembre 1907; RS 210), lequel, bien qu'abrogé au 31 décembre 2010, continue à</w:t>
      </w:r>
    </w:p>
    <w:p>
      <w:r>
        <w:t>- 8 - s'appliquer aux procédure de divorce soumises à l'ancien droit (Tappy, Le droit transitoire applicable lors de l'introduction de la nouvelle procédure unifiée, JT 2010 III 14), chacun des époux peut demander au juge d'ordonner les mesures provisoires nécessaires. Une contribution peut être demandée pour l'avenir et pour l'année précédant le dépôt de la requête. La rétroactivité à une date antérieure au dépôt de la requête de mesures provisoires ne se justifie que s'il existe des motifs particuliers (TF 5A_485/2008 du 1er décembre 2008 c. 2.2; ATF 111 II 103 c. 4). Un engagement de l'époux d'informer immédiatement son épouse des modifications de sa situation financière constitue une telle circonstance. Au surplus, même si la requête de mesures provisoires est déposée moins d'un an après l'ouverture d'action en divorce, elle peut aboutir à l'allocations de contributions pour une période où cette procédure n'avait pas encore été introduite, pour autant que le juge des mesures protectrices de l'union conjugale n'ait pas été saisi au sujet de la même période (Tappy, Commentaire romand, n. 23 ad art. 137 CC; ATF 129 III 60, JT 2003 I 45). La décision attaquée retient que l'appelant perçoit un salaire depuis le mois d'août 2010 et qu'il s'était engagé à l'audience du 15 janvier 2010 à informer son épouse des modifications de sa situation financière. Le chiffre IV de la convention du 15 janvier 2010 précise d'ailleurs que l'époux s'engageait à informer immédiatement son épouse si son revenu devait dépasser le minimum vital. C'est donc en vain que l'appelant prétend que l'intimée aurait dû déduire de ses versements mensuels de 200 fr. que sa situation financière s'était améliorée alors qu'il n'a pas respecté son engagement de renseigner son épouse. Il s'ensuit que le paiement de la contribution d'entretien depuis le 1er août 2010, sous déduction des montants déjà versés, est pleinement justifié. Ce moyen doit en conséquence être rejeté.</w:t>
      </w:r>
    </w:p>
    <w:p>
      <w:r>
        <w:t>- 9 -</w:t>
      </w:r>
    </w:p>
    <w:p>
      <w:r>
        <w:rPr>
          <w:b/>
        </w:rPr>
        <w:t>E. 2</w:t>
      </w:r>
    </w:p>
    <w:p>
      <w:r>
        <w:t>Par demande unilatérale du 2 novembre 2010, I.________ a ouvert action en divorce. Par requête de mesures provisionnelles du 10 février 2011, I.________ a conclu, avec suite de frais et dépens, à ce que O.________ contribue à l'entretien de [...] et de [...], d'avance le premier de chaque</w:t>
      </w:r>
    </w:p>
    <w:p>
      <w:r>
        <w:t>- 4 - mois dès et y compris le mois d'août 2010, par le service d'une pension mensuelle de 400 fr. par enfant, allocations familiales non comprises, ordre étant donné à tout employeur, ou à toute institution amenée à lui verser une indemnité en remplacement de son salaire, de prélever chaque mois sur ses revenus le montant de 800 fr. et de le lui verser. Dans ses déterminations du 31 mars 2011, O.________ a conclu, avec dépens, au rejet des conclusions de la requête. La conciliation, tentée à l'audience du 5 avril 2011, a échoué.</w:t>
      </w:r>
    </w:p>
    <w:p>
      <w:r>
        <w:rPr>
          <w:b/>
        </w:rPr>
        <w:t>E. 2.2</w:t>
      </w:r>
    </w:p>
    <w:p>
      <w:r>
        <w:t>L'appelant soutient ensuite que la contribution mensuelle d'entretien devrait être fixée à 440 fr., soit 220 fr. par enfant, selon la méthode dite de répartition de l'excédent. S'agissant de contributions fixées exclusivement en faveur des enfants, le juge statue d'office et n'est pas lié par les conclusions des parties (art. 296 CPC; Hohl, Procédure civile, Tome II, 2ème éd.., n. 2415 p. 438). La jurisprudence de la cour de céans part en règle générale, pour calculer la contribution d'entretien d'un enfant, d'un pourcentage du revenu mensuel ou de la capacité de gain du débiteur de la pension, fixé en fonction du nombre d'enfants bénéficiaires. Pour un enfant en bas âge, cette proportion est évaluée à environ 15 à 17% du revenu mensuel net de l'intéressé, 25 à 27% pour deux enfants, 30 à 35% pour trois enfants et 40% pour quatre enfants (Bastons Bullettti, L'entretien après divorce : méthodes de calcul, montant, durée et limites, in SJ 2007 II 77 ss., spéc. p. 107s.; Revue Suisse de jurisprudence [RSJ] 1984, pp. 392-393, note ad n° 4; Meier/Stettler, Droit de la filiation, 4ème éd., n. 978, pp. 567-568; TF 5A_178/2008 du 23 avril 2008 et références). Il s'agit là d'un taux approximatif qui doit être pondéré au vu des circonstances, selon l'équité (ATF 107 II 406 c. 2c; RSJ 1984 p. 392 n° 4 précitée; Meier/Stettler, ibid.). La Chambre des recours applique ces critères à tous les enfants mineurs, indépendamment de l'état civil de leurs parents (mariés ou non, séparés ou divorcés [CREC II 15 novembre 2010/234]). Ces pourcentages ne valent généralement que si le revenu du débiteur se situe entre 3'500 fr. et 4'500 fr. par mois (ATF 116 II 110 c. 3a, JT 1993 I 162), revenu qui a toutefois été réactualisé depuis lors, de 4'500 fr. à 6'000 fr., pour tenir compte de l'augmentation du coût de la vie (CREC II 11 juillet 2005/436). En présence de capacités financières limitées, le minimum vital du débirentier au sens du droit des poursuites doit en principe être garanti (ATF 127 III 68, JT 2001 I 2c). Lorsque plusieurs enfants ont droit à une contribution d'entretien, le principe de l'égalité de traitement doit être respecté (ATF 127 III 68, JT I 562 c. 2c; TF 5A_178/2008 c. 3.2).</w:t>
      </w:r>
    </w:p>
    <w:p>
      <w:r>
        <w:t>- 10 - En l'espèce, c'est donc à juste titre que le premier juge a choisi la méthode de fixation de la contribution d'entretien en fonction des besoins de l'enfant. Les pensions fixées à 800 fr. par mois pour les deux enfants, rapportées à un revenu net mensualisé du débiteur de 4'658 fr., ne portent pas atteinte au minimum vital de l'appelant, qui est de 2'925 fr. (1'000 fr. de base [1'500 fr. : 2 + 150 fr.], 1'245 fr. de loyer [2'490 fr. : 2], 280 fr. d'assurance maladie et 400 fr. de frais de transport). Quant à des dettes antérieures de O.________, elles ne sauraient évidemment passer avant les obligations alimentaires lui incombant. Ce second grief doit donc également être écarté. 3. Au vu de ce qui précède, l'appel doit être rejeté en application de l'art. 312 al. 1 CPC. 4. Les frais judiciaires de deuxième instance sont arrêtés à 600 fr. (art. 63 TFJC [tarif des frais judiciaires civils du 28 septembre 2010; RSV 270.11.5]). Ils sont laissés à la charge de l'Etat, l'appelant, au bénéfice de l'assistance judiciaire, succombant (122 al. 1 let b CPC). L'intimée n'ayant pas procédé, il ne sera pas alloué de dépens. Vu la liste des opérations et débours pour la procédure d'appel produite le 24 mai 2011 par le conseil de l'appelant, une indemnité d'office à hauteur de 781 fr. 60, TVA et débours compris, est accordée à Me Genier Müller. Enfin, le bénéficiaire de l'assistance judiciaire est, dans la mesure de l'art. 123 CPC, tenu au remboursement des frais judiciaires et de l'indemnité du conseil d'office mis à la charge de l'Etat.</w:t>
      </w:r>
    </w:p>
    <w:p>
      <w:r>
        <w:t>- 11 -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Genier Müller est arrêtée à 720 fr. (sept cent vingt francs), plus 57 fr. 60 (cinquante-sept francs et soixante centimes) de TVA et 4 fr. (quatre francs) de débours. V. Le bénéficiaire de l'assistance judiciaire est, dans la mesure de l'art. 123 CPC, tenu au remboursement des frais judiciaires et de l'indemnité du conseil d'office mis à la charge de l'Etat. VI. L'arrêt motivé est exécutoire. Le juge délégué : Le greffier :</w:t>
      </w:r>
    </w:p>
    <w:p>
      <w:r>
        <w:t>- 12 - Du 24 mai 2011 Le dispositif de l'arrêt qui précède est communiqué par écrit aux intéressés. Le greffier : Du L'arrêt qui précède, dont la rédaction a été approuvée à huis clos, est notifié en expédition complète, par l'envoi de photocopies à : - Mme Sandra Genier Müller (pour O.________) - M. Fabien Mingard (pour 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d'arrondissement de l'Est vaudois. Le greffier :</w:t>
      </w:r>
    </w:p>
    <w:p>
      <w:r>
        <w:rPr>
          <w:b/>
        </w:rPr>
        <w:t>E. 3</w:t>
      </w:r>
    </w:p>
    <w:p>
      <w:r>
        <w:t>O.________ a bénéficié du revenu d'insertion du 1er octobre 2009 au 19 juillet 2010, pour un montant total de 7'911 fr. 95, en complément du chômage ou d'heures effectuées pour la société SL&amp;C Suisse SA. Il travaille depuis le 1er août 2010 pour l'Etablissement vaudois d'accueil des migrants (EVAM). Son salaire net mensualisé est de 4'658 fr. (4'300 fr. x 13 : 12). Ses primes d'assurance maladie sont de 280 fr. par mois, ses frais de transports de 400 francs. L'appelant a emménagé avec sa compagne le 1er avril 2011 dans un appartement dont le loyer mensuel est de 2'490 fr., charges comprises. Le couple vivait précédemment dans un logement qui lui coûtait 1'151 fr. par mois. I.________ travaille à 90% pour les affaires professorales de l'Ecole polytechnique fédérale de Lausanne (EPFL), Son salaire mensuel net, servi treize fois l'an, est de 6'139 fr. 20, allocations familiales en sus. L'intimée vit avec [...] et [...] dans un appartement au loyer mensuel de 2'149 fr, charges et place de parc comprises. Ses primes d'assurance maladie obligatoire et celles de ses enfants ascendent à 433 fr. en chiffres ronds. Ses frais de maman de jour se sont élevés, pour le mois de septembre 2010, à 275 francs. Le salaire de l'appelant représente le 42% des revenus totaux du couple (11'208 fr.). Compte tenu d'un montant de base de 1'000 fr. (1'700 fr. : 2 + 150 fr. relatif à l'exercice du droit de visite), d'une part de loyer de 1'245 fr. (2'490 fr. : 2), de primes d'assurance maladie de 280 fr. et de frais de transport de 400 fr., le disponible du débiteur est de 1'733</w:t>
      </w:r>
    </w:p>
    <w:p>
      <w:r>
        <w:t>- 5 - fr. dès le 1er avril 2011 (jusqu'à cette date, avec une charge locative de 575 fr. [1'151 fr. : 2], il était de 2'403 francs). Sur la base des tabelles zurichoises, le premier juge a relevé que la pension mensuelle due serait de 697 fr. pour [...] (1'700 fr. [s'agissant d'un enfant de un à six ans] x 42%) et de 713 fr. 40 pour [...] (1'740 fr. [s'agissant d'un enfant de sept à douze ans] x 42%). Ainsi, selon lui, les pensions requises à hauteur de 400 fr. par mois et par enfant n'étaient pas manifestement inéquitables.</w:t>
      </w:r>
    </w:p>
    <w:p>
      <w:r>
        <w:rPr>
          <w:b/>
        </w:rPr>
        <w:t>E. 4</w:t>
      </w:r>
    </w:p>
    <w:p>
      <w:r>
        <w:t>Dans ses déterminations sur mesures provisionnelles du 31 mars 2011, O.________ a fait valoir que s'il avait retrouvé du travail dès août 2010, sa situation financière antérieure l'avait contraint à contracter des dettes qu'il devait préalablement rembourser.</w:t>
      </w:r>
    </w:p>
    <w:p>
      <w:r>
        <w:rPr>
          <w:b/>
        </w:rPr>
        <w:t>E. 5</w:t>
      </w:r>
    </w:p>
    <w:p>
      <w:r>
        <w:t>Par demande du 2 novembre 2010, I.________ a conclu, avec suite de frais et dépens, au divorce, à ce que l'autorité parentale sur les enfants et la garde de ces derniers lui soit attribuées, sous réserve du droit de visite du père, au service d'une contribution à l'entretien de [...] et de [...], au partage des prestations de libre passage LPP accumulées durant le mariage et à la dissolution et liquidation du régime matrimonial. Par réponse du 31 janvier 2011, O.________ a conclu, avec dépens, au divorce, au service d'une contribution à l'entretien de chacun de ses enfants, dont la garde et l'autorité parentale sont attribuées à leur mère, de 300 fr. par mois au maximum, sous réserve de l'indexation, au service par la demanderesse d'une contribution à son propre entretien, au partage par moitié des avoirs LPP acquis pendant la durée du mariage et à la dissolution et liquidation du régime matrimonial. En d roit :</w:t>
      </w:r>
    </w:p>
    <w:p>
      <w:r>
        <w:t>- 6 - 1. 1.1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CPC), le présent appel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