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TU10.033051 vom 7. März 2012</w:t>
      </w:r>
    </w:p>
    <w:p>
      <w:r>
        <w:t>VD Tribunal cantonal, 2012-03-07, FR</w:t>
      </w:r>
    </w:p>
    <w:p>
      <w:r>
        <w:rPr>
          <w:b/>
        </w:rPr>
        <w:t xml:space="preserve">Quelle: </w:t>
      </w:r>
      <w:r>
        <w:t>https://mcp.opencaselaw.ch/entscheid/vd_gerichte_TU10.033051</w:t>
      </w:r>
    </w:p>
    <w:p>
      <w:r>
        <w:t>FR: VD_GERICHTE TU10.033051 du 7 mars 2012</w:t>
      </w:r>
    </w:p>
    <w:p>
      <w:r>
        <w:t>IT: VD_GERICHTE TU10.033051 del 7 marzo 2012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décembre 2011. Dans son courrier du 30 janvier 2012, le conseil de l'appelant a requis la fixation d'une audience d'appel en vue de l'administration des preuves qu'il avait requises. [...] et [...] ont été entendus le 15 février 2012 par le Juge délégué de la Cour d'appel civile en présence d'une greffière. Ils ont exprimé le souhait de demeurer au Mont-sur-Lausanne, où ils sont scolarisés. Le résumé de leurs propos a été communiqué aux parties auxquelles un délai de détermination a été fixé. Par lettre de son conseil du 28 février 2012, C.________ a précisé que la jeune femme dont avaient parlé les enfants ne cuisinait pas pour eux pas plus qu'elle ne mangeait en leur compagnie. Elle a ajouté qu'elle n'avait plus eu de problème d'hypoglycémie depuis plus d'une année et qu'à l'égard de [...], elle était plus sévère que son mari s'agissant de l'utilisation de la télévision et de l'ordinateur, dans l'intérêt de sa fille, afin que celle-ci fasse ses devoirs au retour de l'école. W.________ ne s'est pas déterminé dans le délai imparti.</w:t>
      </w:r>
    </w:p>
    <w:p>
      <w:r>
        <w:t>- 6 - D. Les faits nécessaires à l'examen de la cause sont les suivants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