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TU10.030710 vom 19. November 2014</w:t>
      </w:r>
    </w:p>
    <w:p>
      <w:r>
        <w:t>VD Tribunal cantonal, 2014-11-19, FR</w:t>
      </w:r>
    </w:p>
    <w:p>
      <w:r>
        <w:rPr>
          <w:b/>
        </w:rPr>
        <w:t xml:space="preserve">Quelle: </w:t>
      </w:r>
      <w:r>
        <w:t>https://mcp.opencaselaw.ch/entscheid/vd_gerichte_TU10.030710</w:t>
      </w:r>
    </w:p>
    <w:p>
      <w:r>
        <w:t>FR: VD_GERICHTE TU10.030710 du 19 novembre 2014</w:t>
      </w:r>
    </w:p>
    <w:p>
      <w:r>
        <w:t>IT: VD_GERICHTE TU10.030710 del 19 novembre 2014</w:t>
      </w:r>
    </w:p>
    <w:p>
      <w:pPr>
        <w:pStyle w:val="Heading2"/>
      </w:pPr>
      <w:r>
        <w:t>Erwägungen</w:t>
      </w:r>
    </w:p>
    <w:p>
      <w:r>
        <w:rPr>
          <w:b/>
        </w:rPr>
        <w:t>E. 4</w:t>
      </w:r>
    </w:p>
    <w:p>
      <w:r>
        <w:t>a) La recevabilité du recours contre une ordonnance d'instruction est notamment subordonnée au respect du délai de dix jours, à moins que la loi n'en dispose autrement (art. 321 al. 2 CPC). L'indication erronée des voies de droit et des délais de recours ne peut nuire à la partie qui s'y est légitimement fiée conformément au principe de la protection de la bonne foi (art. 9 Cst. [Constitution fédérale du 18 avril 1999, RS 101]).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b) En l'espèce, le délai de trente jours pour recourir mentionné au pied du jugement incident du 7 octobre 2014 est erroné. Il ne devait cependant pas échapper au conseil de la recourante que celui-ci était de dix jours, dès lors que la décision litigieuse était une ordonnance d'instruction. La seule lecture du texte légal aurait suffi à la renseigner à ce sujet (CREC 31 juillet 2014/206). Ainsi, au vu de la jurisprudence susmentionnée, la recourante n'a pas à être protégé dans sa bonne foi. Formé le 7 novembre 2014, le recours est tardif et donc irrecevable pour ce premier motif.</w:t>
      </w:r>
    </w:p>
    <w:p>
      <w:r>
        <w:t>- 5 -</w:t>
      </w:r>
    </w:p>
    <w:p>
      <w:r>
        <w:rPr>
          <w:b/>
        </w:rPr>
        <w:t>E. 5</w:t>
      </w:r>
    </w:p>
    <w:p>
      <w:r>
        <w:t>a) Le recours contre une ordonnance d'instruction est également subordonné à l’existence d'un préjudice difficilement réparable au regard de l'art. 319 let. b ch. 2 CPC (JT 2011 III 86 c. 3). La notion de préjudice difficilement réparable est plus large que celle de dommage irréparable de l'art. 93 al. 1 let. a LTF (loi du 17 juin 2005 sur le Tribunal fédéral, RS 173.110), puisqu'elle devrait viser également les désavantages de fait (JT 2011 III 86 c. 3 et réf. cit.; CREC 20 avril 2012/148). La question de savoir s'il existe un préjudice difficilement réparable s'apprécie par rapport aux effets de la décision incidente sur la cause principale, respectivement la procédure principale (ATF 137 III 380 c. 1.2.2;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p. 1274 et réf. cit.; CREC 22 mars 2012/117). En outre, un préjudice irréparable de nature juridique ne doit pas pouvoir être ultérieurement réparé ou entièrement réparé par une décision finale favorable au recourant (ATF 134 III 188 c. 2.1 s.). b) La recourante n'allègue pas et a fortiori ne démontre pas en quoi la mise en oeuvre de l'expertise judiciaire pourrait lui causer un préjudice difficilement réparable au sens de l’art. 319 let. b ch. 2 CPC et de la jurisprudence précitée. En particulier, contrairement à ce qu'elle semble invoquer, cette mesure d'instruction n'a pas pour conséquence d'augmenter les risques que les autorités [...] découvrent l'existence de sa double nationalité et lui retirent la nationalité [...] ainsi que la propriété du terrain litigieux, étant donné que les avocats [...] et mandataires assimilés</w:t>
      </w:r>
    </w:p>
    <w:p>
      <w:r>
        <w:t>- 6 - sont également soumis au secret professionnel. Ainsi, le recours de C.________ est également irrecevable pour ce second motif.</w:t>
      </w:r>
    </w:p>
    <w:p>
      <w:r>
        <w:rPr>
          <w:b/>
        </w:rPr>
        <w:t>E. 6</w:t>
      </w:r>
    </w:p>
    <w:p>
      <w:r>
        <w:t>Il résulte de ce qui précède que le recours doit être déclaré irrecevable et le jugement attaqué confirmé. L’arrêt peut être rendu sans frais judiciaires de deuxième instance (art. 52 al. 1 TFJC [tarif des frais judiciaires civils du 28 septembre 2010, RSV 270.11.5]). L'intimé, n'ayant pas été invité à se déterminer conformément à l’art. 322 al. 1 CPC, n'a pas droit à des dépens.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Patricia Michellod (pour C.________), - Me Laurent Schuler (pour J.________). Le présent arrêt peut faire l'objet d'un recours en matière civile devant le Tribunal fédéral au sens des art. 72 ss LTF (loi du 17 juin 2005 sur le Tribunal fédéral, RS 173.110), cas échéant d'un recours</w:t>
      </w:r>
    </w:p>
    <w:p>
      <w:r>
        <w:t>- 7 -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