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TU10.025233 vom 5. August 2015</w:t>
      </w:r>
    </w:p>
    <w:p>
      <w:r>
        <w:t>VD Tribunal cantonal, 2015-08-05, FR</w:t>
      </w:r>
    </w:p>
    <w:p>
      <w:r>
        <w:rPr>
          <w:b/>
        </w:rPr>
        <w:t xml:space="preserve">Quelle: </w:t>
      </w:r>
      <w:r>
        <w:t>https://mcp.opencaselaw.ch/entscheid/vd_gerichte_TU10.025233</w:t>
      </w:r>
    </w:p>
    <w:p>
      <w:r>
        <w:t>FR: VD_GERICHTE TU10.025233 du 5 août 2015</w:t>
      </w:r>
    </w:p>
    <w:p>
      <w:r>
        <w:t>IT: VD_GERICHTE TU10.025233 del 5 agosto 2015</w:t>
      </w:r>
    </w:p>
    <w:p>
      <w:pPr>
        <w:pStyle w:val="Heading2"/>
      </w:pPr>
      <w:r>
        <w:t>Erwägungen</w:t>
      </w:r>
    </w:p>
    <w:p>
      <w:r>
        <w:rPr>
          <w:b/>
        </w:rPr>
        <w:t>E. 3</w:t>
      </w:r>
    </w:p>
    <w:p>
      <w:r>
        <w:t>a) L’appelant soutient que sa baisse de revenus, les nouvelles charges auxquelles il doit faire face ainsi que l’augmentation des revenus de l’intimée depuis le prononcé de l’arrêt du 17 juillet 2014 constituent des faits nouveaux justifiant l’admission de sa requête de mesures provisionnelles du 31 octobre 2014 et une diminution à 2'320 euros de la contribution d’entretien due pour l’entretien des siens. Se fondant sur l’attestation de revenus pour l’année 2014 remise par son employeur le 10 décembre 2014 et celle remise par son employeur le 30 juin 2015 pour les six premiers mois de l’année 2015, il soutient en particulier que son salaire mensuel net se serait élevé à 10'327 euros en 2014, respectivement à 10'261 euros en 2015. L’appelant relève en outre qu’il convient de ne pas prendre en compte les revenus provenant de la location de la vigne, dès lors que ceux-ci sont versés sur un compte commun des parties et entièrement affectés au paiement des intérêts hypothécaires relatifs à la villa de [...]. Pour l’appelant, il y a également lieu de prendre en compte un montant mensuel supplémentaire de 3'570 euros 75 à titre de charges liées à l’entretien des enfants M.________ et H.________. Il soutient en outre que le revenu net de l’intimée doit être arrêté à 6'882 fr. compte tenu d’un salaire mensuel de 7'597 fr. 40 et de la déduction d’acomptes d’impôts qui s’élèvent chaque mois, selon l’appelant, à 714 fr. 85. b)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w:t>
      </w:r>
    </w:p>
    <w:p>
      <w:r>
        <w:t>- 15 -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les références citées ; TF 5A_811/2012 du 18 février 2013 c.3.2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les références citées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 ATF 137 III 604 c. 4.1.1). Lorsqu’il admet que les circonstances ayant prévalus lors du prononcé de mesures provisoires ou protectrices se sont modifiées durablement et de manière</w:t>
      </w:r>
    </w:p>
    <w:p>
      <w:r>
        <w:t>- 16 - significative, le juge doit alors fixer à nouveau la contribution d’entretien, après avoir actualisé tous les éléments pris en compte pour le calcul dans le jugement précédent et litigieux devant lui (TF 5A_140/2013 du 28 mai 2013 c. 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 c) En l’espèce, dès lors que, par arrêt du 17 juillet 2014, les revenus de l’appelant avaient été déterminés sur la base des relevés mensuels et non d’un récapitulatif de l’année précédente, le premier juge a estimé qu’il convenait d’utiliser la même base de comparaison et ainsi de se référer à la fiche de salaire du mois de mars 2015 produite par l’appelant, faisant état d’un revenu net déterminant de 11'637 euros 06. A ce montant, le premier juge a considéré qu’il y avait lieu d’ajouter les revenus locatifs de la vigne, sise à [...], par 144 euros 45, de sorte que les revenus de l’appelant devaient être arrêtés à 11'781 euros 51. Dans la mesure où il avait été considéré dans l’arrêt du 17 juillet 2014 que les diverses allocations perçues par le requérant et sa compagne, déduites des revenus du requérant, couvraient entièrement les besoins des enfants M.________ et H.________, le premier juge a estimé qu’il n’y avait pas lieu de retenir de quelconques frais d’entretien dans le calcul des charges incompressibles du requérant, que ce soit de leur montant de base ou de leurs frais effectifs, dès lors qu’ils existaient manifestement déjà à l’époque et qu’aucun élément ne justifiait de traiter cette question différemment à ce stade. Enfin, pour le premier juge, il y avait lieu de constater, s’agissant des revenus de l’intimée, que ceux-ci n’avaient pas subi de</w:t>
      </w:r>
    </w:p>
    <w:p>
      <w:r>
        <w:t>- 17 - modification significative au cours de ces dernières années, la seule différence résidant dans le fait qu’elle n’était désormais plus soumise à l’imposition à la source. Il fallait ainsi prendre en considération les acomptes dont l’intimée devait désormais s’acquitter et dont le montant s’élevait à 1'645 fr. 60 par mois, soit à un montant comparable à l’impôt à la source qui était préalablement imputé directement sur son salaire. Cette prise en compte permettait de constater que la capacité contributive effective de l’intimée n’était pas différente de celle qui prévalait en juillet 2014. d) Dans son appel, A.________ axe sa démonstration sur les attestations de revenus établies par son employeur, qui contiennent des déductions supplémentaires qui n’apparaissent pas dans les relevés mensuels, ceci alors qu’une telle approche avait été écartée par le premier juge. Il n’expose à cet égard pas en quoi la position du premier juge serait erronée. Par ailleurs, l’appelant ne conteste pas le revenu de 11'637 euros 06 tel qu’arrêté par le premier juge sur la base de sa fiche de salaire du mois de mars 2015 ni les déductions opérées. Il n’y a au surplus pas lieu d’ordonner d’office la production des autres fiches de salaire de l’appelant pour l’année 2015, dès lors qu’il lui revenait de les produire en première instance, ce qu’il s’est abstenu de faire. Enfin, les autres fiches de salaire disponibles pour la période considérée, à savoir celles des mois d’octobre, de novembre et de décembre 2014, font état de montants supérieurs ou, pour le moins, équivalents à ceux retenus par le premier juge, à savoir respectivement 12’668 euros 99 en octobre 2014, 11'488 euros 92 en novembre 2014 et 11'503 euros 61 en décembre 2014. En revanche, il convient de ne pas tenir compte des revenus provenant de la location de la vente de la vigne, sise à [...], l’appelant ayant rendu vraisemblable que ceux-ci, s’élevant à 144 euros 45, sont entièrement affectés au paiement des intérêts hypothécaires relatifs à la villa de [...]. Toutefois, la différence induite n’est pas susceptible d’avoir une influence décisive sur le résultat, dès lors que les revenus de</w:t>
      </w:r>
    </w:p>
    <w:p>
      <w:r>
        <w:t>- 18 - l’appelant, arrêtés à 12'176 euros 21 dans l’arrêt du 17 juillet 2014, sont actuellement de 11'637 euros 06 par mois, qu’ils ont en définitive diminué dans une proportion inférieure à 5% et qu’on ne saurait en conséquence parler d’une modification significative des circonstances. S’agissant des frais d’entretien des enfants M.________ et H.________, c’est à juste titre que le premier juge a estimé, en référence à l’arrêt du 17 juillet 2014, que ces frais d’entretien existaient déjà à cette époque et que les diverses allocations perçues par l’appelant et sa compagne, dont le montant s’élève selon l’appelant à 7'511 euros 80 par mois, couvraient entièrement les besoins des enfants M.________ et H.________. En ce qui concerne les revenus de l’intimée, celle-ci a rendu vraisemblable, par la production du courrier qui lui a été adressé le 28 novembre 2014 par l’Office d’impôt du district de Nyon, devoir s’acquitter d’acomptes d’impôts s’élevant à 1'645 fr. 60 pour l’année 2015. Compte tenu d’un salaire mensuel de 7'597 fr. 40, il s’ensuit que ses revenus doivent être arrêtés à 5'951 fr. 80, soit à un montant très proche de celui de 5'909 fr. retenu dans l’arrêt du 17 juillet 2014, qui tenait également compte de l’imposition de l’intimée, opérée alors à la source. Il est encore relevé, sans que ce point ne soit plaidé par l’appelant, que le Juge délégué s’était fondé dans l’arrêt précité sur le salaire brut de l’intimée sans prendre en compte les éventuels bonus et gratifications que l’intimée était susceptible de recevoir de son employeur, de sorte qu’il n’y a pas non plus lieu de considérer ces éventuels suppléments à ce stade. Il n’est donc pas nécessaire d’ordonner, au stade de la procédure d’appel sur mesures provisionnelles, les décisions de taxation fiscale concernant l’intimée pour les années 2013 et 2014. Compte tenu de ce qui précède, c’est à bon droit que le premier juge a estimé qu’aucun élément nouveau, significatif et durable ne justifiait d’entrer en matière sur une modification du montant de la contribution d’entretien mise à la charge de l’appelant.</w:t>
      </w:r>
    </w:p>
    <w:p>
      <w:r>
        <w:t>- 19 -</w:t>
      </w:r>
    </w:p>
    <w:p>
      <w:r>
        <w:rPr>
          <w:b/>
        </w:rPr>
        <w:t>E. 4</w:t>
      </w:r>
    </w:p>
    <w:p>
      <w:r>
        <w:t>En définitive, l’appel doit être rejeté selon le mode procédural de l’art. 312 al. CPC et l’ordonnance entreprise confirmée. Les frais judiciaires de deuxième instance, arrêtés à 2’000 fr. (art. 63 al. 3 TFJC [tarif des frais judiciaires civils du 28 septembre 2010, RSV 270.11.5]), seront mis à la charge de l’appelant, qui succombe (art. 106 al. 1 CPC). Il n'y a pas lieu d'allouer de dépens à l’intimée, celle-ci n’ayant pas été invitée à se déterminer. Par ces motifs, la Juge déléguée de la Cour d’appel civile du Tribunal cantonal, prononce : I. L’appel est rejeté. II. L’ordonnance est confirmée. III. Les frais judiciaires de deuxième instance, arrêtés à 2'000 fr. (deux mille francs), sont mis à la charge de l’appelant A.________. IV. L’arrêt est exécutoire. La juge déléguée : Le greffier :</w:t>
      </w:r>
    </w:p>
    <w:p>
      <w:r>
        <w:t>- 20 - Du L'arrêt qui précède, dont la rédaction a été approuvée à huis clos, est notifié à : - Me Jacques Michod (pour A.________) - Me Laurent Maire (pour 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