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TU09.035454 vom 11. November 2011</w:t>
      </w:r>
    </w:p>
    <w:p>
      <w:r>
        <w:t>VD Tribunal cantonal, 2011-11-11, FR</w:t>
      </w:r>
    </w:p>
    <w:p>
      <w:r>
        <w:rPr>
          <w:b/>
        </w:rPr>
        <w:t xml:space="preserve">Quelle: </w:t>
      </w:r>
      <w:r>
        <w:t>https://mcp.opencaselaw.ch/entscheid/vd_gerichte_TU09.035454</w:t>
      </w:r>
    </w:p>
    <w:p>
      <w:r>
        <w:t>FR: VD_GERICHTE TU09.035454 du 11 novembre 2011</w:t>
      </w:r>
    </w:p>
    <w:p>
      <w:r>
        <w:t>IT: VD_GERICHTE TU09.035454 del 11 novembre 2011</w:t>
      </w:r>
    </w:p>
    <w:p>
      <w:pPr>
        <w:pStyle w:val="Heading2"/>
      </w:pPr>
      <w:r>
        <w:t>Erwägungen</w:t>
      </w:r>
    </w:p>
    <w:p>
      <w:r>
        <w:rPr>
          <w:b/>
        </w:rPr>
        <w:t>E. 5</w:t>
      </w:r>
    </w:p>
    <w:p>
      <w:r>
        <w:t>En définitive, l'appel doit être rejeté en application de l'art. 312 al. 1 CPC et l'ordonnance attaquée confirmée. Les frais judiciaires de deuxième instance, arrêtés à 600 fr. (art. 62 al. 2 TFJC [Tarif des frais judiciaires civils du 28 septembre 2010; RSV 270.11.5], sont mis à la charge de l'appelant, qui succombe (art. 106 al. 1 CPC).</w:t>
      </w:r>
    </w:p>
    <w:p>
      <w:r>
        <w:t>- 20 - Il n'est pas alloué de dépens de deuxième instance, dès lors que l’intimée n'a pas été invitée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A.M.________. IV. L'arrêt motivé est exécutoire Le juge délégué : Le greffier : Du 15 novembre 2011 Le dispositif de l'arrêt qui précède est communiqué par écrit aux intéressés. Le greffier :</w:t>
      </w:r>
    </w:p>
    <w:p>
      <w:r>
        <w:t>- 21 - Du L'arrêt qui précède, dont la rédaction a été approuvée à huis clos, est notifié en expédition complète, par l'envoi de photocopies, à : - Me Mireille Loroch (pour A.M.________), - Me Patricia Michellod (pour 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