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TU09.012680 vom 8. Mai 2013</w:t>
      </w:r>
    </w:p>
    <w:p>
      <w:r>
        <w:t>VD Tribunal cantonal, 2013-05-08, FR</w:t>
      </w:r>
    </w:p>
    <w:p>
      <w:r>
        <w:rPr>
          <w:b/>
        </w:rPr>
        <w:t xml:space="preserve">Quelle: </w:t>
      </w:r>
      <w:r>
        <w:t>https://mcp.opencaselaw.ch/entscheid/vd_gerichte_TU09.012680</w:t>
      </w:r>
    </w:p>
    <w:p>
      <w:r>
        <w:t>FR: VD_GERICHTE TU09.012680 du 8 mai 2013</w:t>
      </w:r>
    </w:p>
    <w:p>
      <w:r>
        <w:t>IT: VD_GERICHTE TU09.012680 del 8 maggio 2013</w:t>
      </w:r>
    </w:p>
    <w:p>
      <w:pPr>
        <w:pStyle w:val="Heading2"/>
      </w:pPr>
      <w:r>
        <w:t>Erwägungen</w:t>
      </w:r>
    </w:p>
    <w:p>
      <w:r>
        <w:rPr>
          <w:b/>
        </w:rPr>
        <w:t>E. 3</w:t>
      </w:r>
    </w:p>
    <w:p>
      <w:r>
        <w:t>L'appelant conteste le partage de l'autorité parentale opéré par les premiers juges. Il requiert que l'autorité parentale sur ses deux enfants lui soit confiée. L'appelante conteste également ce partage de l'autorité parentale; elle considère que l'autorité parentale sur les deux enfants aurait dû lui être attribuée, ainsi que la garde sur ceux-ci, la mesure de retrait de droit garde ne se justifiant plus selon elle. a/aa) Selon l'art. 133 al. 1 et 2 CC, le juge du divorce est notamment tenu d'attribuer l'autorité parentale sur les enfants mineurs des parties à l'un ou l'autre des parents, en tenant compte de toutes les circonstances importantes pour le bien de l'enfant. Dans chaque cas, l'attribution doit se faire de manière à répondre le mieux possible aux besoins des enfants. Au nombre des critères essentiels entrent en ligne de compte les relations personnelles entre parents et 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 5.3 ; ATF 114 II 200 c. 3; ATF 112 II 381 c. 3). Ce dernier critère revêt un poids particulier lorsque les capacités d'éducation et de soin sont similaires (ATF 115 II 206 c. 4a). L'art. 133 al. 3 CC prévoit, comme une exception au principe de l'attribution de l'autorité parentale à l'un des parents,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w:t>
      </w:r>
    </w:p>
    <w:p>
      <w:r>
        <w:t>- 18 -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Selon la jurisprudence, l'instauration d'un droit de garde conjoint présuppose en tous les cas l'accord des deux parents et ne peut être imposée à l'un d'entre eux contre sa volonté (TF 5C.42/2001 du 18 mai 2001 c. 3 publié in FamPra.ch 2001 p. 823; TF 5A_495/2008 du 30 octobre 2008 c. 4.2 publié in FamPra.ch 2009 p. 238). Cette règle est conforme à l’art. 8 CEDH (TF 5A_540/2011 du 30 mars 2012 c. 3). a/ab)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w:t>
      </w:r>
    </w:p>
    <w:p>
      <w:r>
        <w:t>- 19 -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Il 353 c. 3; ATF 115 II 206 c. 4a; ATF 115 Il 317 c. 2;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A capacités équivalentes, il n’est pas arbitraire d’attribuer le droit de garde au parent qui a démontré depuis plusieurs mois qu’il pouvait s’occuper de l’enfant (TF 5A_693/2007 du 18 février 2008 concernant des mesures protectrices de l’union conjugale). Toujours à capacités équivalentes, la disponibilité d’un parent à collaborer avec l’autre pour ce qui a trait à l’enfant jouera un rôle déterminant (RDT 2008 p. 354). Malgré la disponibilité personnelle du père inférieure à celle de la mère, le fait que le père ait la garde des enfants depuis cinq ans apparaît comme un critère prépondérant, d’autant plus qu’il offre un cadre propice à l’épanouissement des enfants(TF 5A_793/2010 du 14 novembre 2011 c. 4.2.2.).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w:t>
      </w:r>
    </w:p>
    <w:p>
      <w:r>
        <w:t>- 20 - envisageable que si les parents sont d’accord et ont pris toutes les mesures pour régler les aspects pratiques de manière à préserver le bien de l’enfant (François Chaix, in Pichonnaz/Foëx [éd.], Commentaire romand, Code civil I, 2010, n. 19 ad art. 176 CC ; Juge délégué CACI 20 décembre 2011/411). a/ac) L'exercice de l'autorité parentale, comme du droit de garde qui en est une composante, doit poursuivre en toutes circonstances le bien de l'enfant (art. 301 al. 1 CC). Si ce bien est menacé et que les parents n'y remédient pas d'eux-mêmes, ou s'ils sont hors d'état de le faire, l'autorité tutélaire – respectivement le juge chargé de régler les relations des père et mère avec l'enfant (art. 315a al. 1 CC) – prend les dispositions adéquates pour la protection de l'enfant (art. 307 ss CC).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vol. III, tome II, 1, p. 247; Meier/Stettler, Droit de la filiation, 4ème éd., 2009, n. 1216, p. 699). Lorsqu'elle ne peut éviter, par une mesure moins grave, que le développement de l'enfant ne soit compromis, l'autorité compétente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4ème éd., Berne 1998, adaptation française par Meier, n. 27.36, p. 194). Les dissensions entre parents peuvent</w:t>
      </w:r>
    </w:p>
    <w:p>
      <w:r>
        <w:t>- 21 - également représenter un danger pour l'enfant (Hegnauer, op. cit., n. 27.14, p. 186). b) En l'occurrence, s'agissant de la question de l'autorité parentale, les arguments développés par les premiers juges, sur la base des constatations de l’expert Sanchez, apparaissent pertinents. En effet, seule une parfaite égalité entre les parents est de nature à maintenir le fragile équilibre qui s'est instauré. En revanche, une assymétrie entre les parents est susceptible de provoquer un renouveau de leur conflit au détriment des enfants, ce qu’il y a précisément lieu d’éviter. La solution des premiers juges, consistant à attribuer l’autorité parentale au père sur son fils et à la mère sur sa fille s’avère ainsi adéquate et doit être confirmée par adoption de motifs. De plus, contrairement à ce que soutient l'appelante, un partage de l’autorité parentale ne conduit pas inéluctablement à une séparation des enfants puisqu’il ne vaut qu’aussi longtemps que la garde est attribuée au SPJ, soit durant la période pendant laquelle les enfants sont placés ensemble en foyer. En ce qui concerne la question du maintien de la mesure de retrait de droit de garde et de son éventuel attribution à l'appelante, celle- ci ne démontre nullement que le conflit entre les parents ne serait désormais plus susceptible de perturber gravement l’éducation des enfants. Si les premiers juges ont certes relevé une amélioration dans le comportement des parents, celle-ci ne suffit pas à exclure tout danger pour les enfants. En particulier, il n'est pas anodin que l'appelante ait présenté à l’audience de jugement sans toutefois les produire des dessins de sa fille censés établir des atteintes d’ordre sexuel, alors même que le père a été libéré au pénal et qu’elle a échappé de justesse à une condamnation pour diffamation; il apparaît ainsi qu'elle est loin d’avoir achevé un processus d’atténuation du conflit avec l'intimé, dont l’expert a déclaré qu’il devait être conduit dans le cadre du placement des enfants au foyer P.________. On ne saurait dans ces conditions prendre le risque qu’une restitution de la garde et les difficultés liées à l'exercice du droit de visite ne compromettent à nouveau gravement la situation des enfants.</w:t>
      </w:r>
    </w:p>
    <w:p>
      <w:r>
        <w:t>- 22 - Sur ce point également, le raisonnement adéquat des premières juges doit être confirmé par adoption de motifs. Pour le surplus, on relèvera que, vu la confirmation du retrait du droit de garde et le placement des enfants, la portée de l’autorité parentale est réduite à des décisions ponctuelles qui peuvent être préparées par le gardien, ainsi en ce qui concerne le choix d’un médecin ou d’une école, sans qu’une coordination entre les deux parents ne s’impose. Cela confirme au besoin que la solution des premiers juges sur cette question est opportune. Compte tenu de ce qui précède, il n'y a pas lieu d'examiner plus avant les autres griefs de l'appelante s'agissant de la question de la pension pour les enfants qui devient sans objet. Quant à la question des dépens de première instance, l'appréciation des premiers juges ne prête pas le flanc à la critique et peut être confirmée.</w:t>
      </w:r>
    </w:p>
    <w:p>
      <w:r>
        <w:rPr>
          <w:b/>
        </w:rPr>
        <w:t>E. 4</w:t>
      </w:r>
    </w:p>
    <w:p>
      <w:r>
        <w:t>En conclusion, les appels doivent être rejetés en application de la procédure de l'art. 312 al. 1 CPC et le jugement entrepris confirmé. Les frais judiciaires de deuxième instance, arrêtés à 600 fr. pour l’appelant et à 600 fr. pour l'appelante, qui succombent tous deux (art. 63 al. 1 TFJC [tarif des frais judiciaires civils du 28 septembre 2010, RSV 270.11.5]), sont laissés à la charge de l’Etat, dès lors qu'ils bénéficient de l’assistance judiciaire. Me Kathrin Gruber a produit une liste détaillée de ses opérations annonçant 4h30 de travail et 50 fr. de débours. Ce décompte peut être admis. Son indemnité d'office doit ainsi être arrêtée à 928 fr. 80, correspondant à 4h30 de travail à un tarif horaire de 180 fr., plus 50 fr. de débours et 68 fr. 80 de TVA. Me Paul-Arthur Treyvaud a également produit une liste détaillée de ses opérations annonçant 16h45 de travail et 68 fr. 60 de</w:t>
      </w:r>
    </w:p>
    <w:p>
      <w:r>
        <w:t>- 23 - débours. Ce décompte paraît excessif compte tenu du fait que Me Treyvaud est le conseil de l'appelante depuis le début de la procédure et qu'il a donc une connaissance complète du dossier; il doit ainsi être réduit. L'indemnité d'office de Me Paul-Arthur Treyvaud est ainsi arrêtée à 1'220 fr. 40, correspondant à 6h de travail à un tarif horaire de 180 fr., plus 50 fr. de débours et 90 fr. 40 de TVA. Les bénéficiaires de l'assistance judiciaire sont, dans la mesure de l'art. 123 CPC, tenus au remboursement des frais judiciaires et de l'indemnité à leur conseil d'office mis à la charge de l'Etat. Les deux parties succombant,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