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TU08.012018 vom 4. April 2011</w:t>
      </w:r>
    </w:p>
    <w:p>
      <w:r>
        <w:t>VD Tribunal cantonal, 2011-04-04, FR</w:t>
      </w:r>
    </w:p>
    <w:p>
      <w:r>
        <w:rPr>
          <w:b/>
        </w:rPr>
        <w:t xml:space="preserve">Quelle: </w:t>
      </w:r>
      <w:r>
        <w:t>https://mcp.opencaselaw.ch/entscheid/vd_gerichte_TU08.012018</w:t>
      </w:r>
    </w:p>
    <w:p>
      <w:r>
        <w:t>FR: VD_GERICHTE TU08.012018 du 4 avril 2011</w:t>
      </w:r>
    </w:p>
    <w:p>
      <w:r>
        <w:t>IT: VD_GERICHTE TU08.012018 del 4 aprile 2011</w:t>
      </w:r>
    </w:p>
    <w:p>
      <w:pPr>
        <w:pStyle w:val="Heading2"/>
      </w:pPr>
      <w:r>
        <w:t>Erwägungen</w:t>
      </w:r>
    </w:p>
    <w:p>
      <w:r>
        <w:rPr>
          <w:b/>
        </w:rPr>
        <w:t>E. 4</w:t>
      </w:r>
    </w:p>
    <w:p>
      <w:r>
        <w:t>a) L'appelante prétend qu'au vu de la capacité de gain de l'intimé, une pension provisionnelle d'un montant de 3'500 fr. aurait dû à tout le moins être mise à sa charge. b) Conformément à l'art. 176 al. 1 ch. 1 CC (Code civil suisse du 10 décembre 1907; RS 210), applicable par analogie aux mesures provisoires (art. 137 al. 2 CC, lequel, bien qu'abrogé au 31 décembre 2010, continue à s'appliquer aux procédures de divorce soumises à l'ancien droit [Tappy, Le droit transitoire applicable lors de l'introduction de la nouvelle procédure unifiée, JT 2010 III 14]), le juge fixe la contribution pécuniaire à verser par l'une des parties à l'autre. Le montant des aliments se détermine en fonction des facultés économiques et des besoins respectifs des époux. Lorsqu'une reprise de la vie commune n'est plus guère envisageable après le dépôt d'une demande de divorce, l'objectif pour le</w:t>
      </w:r>
    </w:p>
    <w:p>
      <w:r>
        <w:t>- 7 -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arrêt 5P_189/2002 du 17 juillet 2002, c. 2, publié in: FamPra.ch [La Pratique du droit de la famille]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w:t>
      </w:r>
    </w:p>
    <w:p>
      <w:r>
        <w:rPr>
          <w:b/>
        </w:rPr>
        <w:t>E. 5</w:t>
      </w:r>
    </w:p>
    <w:p>
      <w:r>
        <w:t>En conclusion, l'appel est admis et l'ordonnance de mesures provisionnelles du 4 février 2011 rendue par le Président du Tribunal civil de l'arrondissement de l'Est vaudois est réformée en ce sens que la requête de mesures provisionnelles formée le 3 septembre 2010 par A.V.________ est rejetée, dite ordonnance étant confirmée pour le surplus.</w:t>
      </w:r>
    </w:p>
    <w:p>
      <w:r>
        <w:t>- 10 - Les frais judiciaires de deuxième instance à la charge de l’intimé sont arrêtés à 600 fr. (art. 65 al. 2 TFJC [tarif des frais judiciaires en matière civile du 28 septembre 2010; RSV 270.11.5). L'intimé ayant succombé, des dépens, à hauteur de 1'400 fr., sont alloués à l’appelante (art. 37 CDPJ, Code de droit privé judiciaire vaudois du 12 janvier 2010; RSV 211.02). Une indemnité d'office à hauteur de 700 fr., TVA et débours compris, est accordée au conseil de l'appelante. Par ces motifs, le juge délégué de la Cour d’appel civile du Tribunal cantonal, statuant à huis clos, prononce : I. L'appel est admis. II. L'ordonnance est réformée au chiffre I de son dispositif en ce sens que la requête de mesures provisionnelles formée le 3 septembre 2010 par A.V.________ est rejetée. Cette ordonnance est confirmée pour le surplus. III. Les frais judiciaires de deuxième instance, arrêtés à 600 fr. (six cents francs), sont mis à la charge de l'intimé A.V.________. IV. L'intimé A.V.________ doit verser à l'appelante A.V.________ la somme de 1'400 fr. (mille quatre cents francs) à titre de dépens de deuxième instance.</w:t>
      </w:r>
    </w:p>
    <w:p>
      <w:r>
        <w:t>- 11 - V. L'indemnité d'office de Me Jean-Pierre Bloch, conseil de l'appelante, est arrêtée à 700 fr. (sept cents francs), TVA et débours compris. VI. L'arrêt motivé est exécutoire. Le juge délégué : La greffière : Du 5 avril 2011. Le dispositif de l'arrêt qui précède est communiqué par écrit aux intéressés. La greffière : Du L'arrêt qui précède, dont la rédaction a été approuvée à huis clos, est notifié en expédition complète, par l'envoi de photocopies à : - Me Jean-Pierre Bloch (pour X.________), - Me Alex Wagner (pour A.V.________). Le juge délégué de la Cour d’appel civile considère que la valeur litigieuse est supérieure à 30'000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