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TU08.000399 vom 23. Januar 2015</w:t>
      </w:r>
    </w:p>
    <w:p>
      <w:r>
        <w:t>VD Tribunal cantonal, 2015-01-23, FR</w:t>
      </w:r>
    </w:p>
    <w:p>
      <w:r>
        <w:rPr>
          <w:b/>
        </w:rPr>
        <w:t xml:space="preserve">Quelle: </w:t>
      </w:r>
      <w:r>
        <w:t>https://mcp.opencaselaw.ch/entscheid/vd_gerichte_TU08.000399</w:t>
      </w:r>
    </w:p>
    <w:p>
      <w:r>
        <w:t>FR: VD_GERICHTE TU08.000399 du 23 janvier 2015</w:t>
      </w:r>
    </w:p>
    <w:p>
      <w:r>
        <w:t>IT: VD_GERICHTE TU08.000399 del 23 gennaio 2015</w:t>
      </w:r>
    </w:p>
    <w:p>
      <w:pPr>
        <w:pStyle w:val="Heading2"/>
      </w:pPr>
      <w:r>
        <w:t>Erwägungen</w:t>
      </w:r>
    </w:p>
    <w:p>
      <w:r>
        <w:rPr>
          <w:b/>
        </w:rPr>
        <w:t>E. 3</w:t>
      </w:r>
    </w:p>
    <w:p>
      <w:r>
        <w:t>a) L’appelante fait valoir une violation de son droit à la preuve. Dans le jugement incident du 27 janvier 2014, les premiers juges auraient violé l’art. 8 CC en refusant d’entendre les témoins H.________ et U.________ et d’administer ainsi une preuve portant sur des faits pertinents et adéquats. Elle requiert en conséquence que la Cour de céans procède à l’audition des témoins précités. b/aa) Aux termes de l’art. 316 al. 3 CPC, l’instance d’appel peut administrer les preuves. Cette disposition ne confère toutefois pas à l’appelant un droit à la réouverture de la procédure probatoire et à l’administration des preuves. Le droit à la preuve, comme le droit à la contre-preuve, découlent de l’art. 8 CC ou, dans certains cas de l’art. 29 al. 2 Cst. féd. (Constitution fédérale de la Confédération suisse du 18 avril 1999 ; RS 101), dispositions qui n’excluent pas l’appréciation anticipée des preuves. L’instance d’appel peut ainsi refuser d’administrer une preuve si l’appelant n’a pas suffisamment motivé sa critique de la constatation de fait retenue par l’autorité inférieure, si la preuve apparaît dénuée de pertinence en appréciation anticipée des preuves ou encore si l’appelant a renoncé à l’administration d’une preuve en ne s’opposant pas à la clôture de la procédure probatoire (ATF 138 III 374 c. 4.3.2). bb) Au moment de fixer la contribution à l’entretien d’un conjoint dont la situation financière a été concrètement et durablement influencée par le mariage, le juge doit dans un premier temps déterminer la mesure de l’entretien convenable au sens de l’art. 125 CC. Ainsi, lorsque l’union conjugale a durablement marqué de son empreinte la situation de l’époux bénéficiaire, le principe est que le standard de vie</w:t>
      </w:r>
    </w:p>
    <w:p>
      <w:r>
        <w:t>- 14 - choisi d’un commun accord doit être maintenu pour les deux parties dans la mesure où leur situation financière le permet (ATF 132 III 593 c. 7.3). Toutefois, lorsque le divorce est prononcé à l'issue d'une longue séparation d'environ dix ans, la situation de l'époux bénéficiaire durant cette période est en principe déterminante pour fixer le montant de la contribution d'entretien (ATF 132 III 598 c. 9.3 ; ATF 130 III 537 c. 2 ; ATF 129 III 7 c. 3.1.1 ; Pichonnaz, Commentaire romand, CC I, n. 20 ad art. 125 CC). 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Il n’est toutefois pas critiquable, en cas de situation financière très favorable, de calculer concrètement les besoins de l’époux créancier et de fixer la contribution d’entretien en fonction de ce montant si l’époux débiteur y consent et refuse de communiquer ses propres revenus (TF 5C.114/2003 du 4 décembre 2003 c. 4.1.2.2). c) En l’espèce, c’est à juste titre que les premiers juges ont retenu que, les époux étant séparés depuis neuf ans au moment du prononcé du divorce, il convenait de prendre en considération le train de vie mené par l’appelante durant la séparation, de sorte que la détermination du train de vie des époux avant la séparation n’était pas relevante. A cet égard, même si la requête incidente en complément d’instruction du 25 octobre 2013 tendait pour l’appelante à démontrer le train de vie du couple durant le mariage, il sied de relever que les allégués nos 87, 88, 89, 95, 119bis, 128, 138, 145 et 146, dont l’administration de la preuve était requise, n’étaient susceptibles, au vu de leur teneur, que de déterminer l’étendue de la fortune et des revenus de la fortune de l’intimé. Or, ces éléments ne sont pas utiles pour la détermination du train de vie de l’appelante durant la séparation.</w:t>
      </w:r>
    </w:p>
    <w:p>
      <w:r>
        <w:t>- 15 - Au demeurant, on ne voit pas en quoi les deux témoins auraient pu contribuer à déterminer de manière convaincante la situation financière de l’intimé. S’agissant de l’audition du témoin H.________, il n’est pas établi que celui-ci puisse avoir une quelconque connaissance du patrimoine du demandeur, dès lors qu’il n’aurait jamais rencontré le demandeur ou son père et que son étude d’avocats panaméenne ne paraît avoir joué qu’un rôle de domiciliation. Une audition d’O.S.________, membre du conseil de fondation de la [...], ne serait pas plus relevante, étant donné qu’il a déjà pu être établi, par attestation du conseil de fondation, que le demandeur n’était pas bénéficiaire de cette fondation. L’intimé ne s’est au surplus pas dérobé à son devoir d’information découlant de l’art. 170 CC, les premiers juges l’en ayant dispensé à bon droit, par appréciation anticipée des preuves. Ce moyen doit être rejeté, les premiers juges n’ayant pas violé le droit à la preuve de l’appelante. Il n’y a dès lors pas lieu de donner suite au complément d’instruction sollicité.</w:t>
      </w:r>
    </w:p>
    <w:p>
      <w:r>
        <w:rPr>
          <w:b/>
        </w:rPr>
        <w:t>E. 4</w:t>
      </w:r>
    </w:p>
    <w:p>
      <w:r>
        <w:t>CC), qui doit statuer en tenant compte de toutes les circonstances de l’espèce, notamment en pesant les intérêts divergents des conjoints et en prenant en considération le bien des enfants communs (TF 5C.42/2002 du 26 septembre 2002 c. 5.1, in FamPra.ch 2003 p. 421, non publié sur ce point aux ATF 129 III 55). Le droit d’habitation de l’art. 121 al. 3 CC est conçu comme une mesure temporaire destinée à gérer une situation transitoire (Scyboz, op. cit., n. 23 ad art. 121 CC). L’intérêt des enfants est d’une importance particulière dans la pesée des intérêts que le juge est appelé à effectuer (CACI 15 juillet 2011/158 c. 4b ; Deschenaux/Steinauer/Baddeley, Les effets du mariage, 2e éd., Berne 2009, nn. 218 g et h, p. 147 ; Breitschmid, Handkommentar zum schweizer Privatrecht, Zurich 2010, n. 5 ad art. 121 CC, p. 165). L’usufruit au sens des art. 745 ss CC est une forme particulière de servitude qui confère à son titulaire la possession, l’usage et la jouissance de la chose (art. 755 al. 1 CC). Le droit d’habitation n’est qu’une forme particulière de l’usufruit qui permet à son titulaire de demeurer dans une maison ou d’en occuper une partie (art. 776 al. 1 CC). Ce droit est incessible et ne passe point aux héritiers (art. 776 al. 2 CC). c) En l’espèce, en tant que forme particulière de l’usufruit qui confère à son titulaire une maîtrise moins large sur la chose objet de la servitude qu’un usufruit au sens de l’art. 755 al. 1 CC, les premiers juges n’auraient pas statué ultra petita s’ils avaient estimé que l’appelante était en droit de bénéficier d’un droit d’habitation, dès lors que ce droit d’usage est moins étendu que l’usufruit demandé par l’appelante dans ses conclusions.</w:t>
      </w:r>
    </w:p>
    <w:p>
      <w:r>
        <w:t>- 17 - Les premiers juges ont toutefois retenu que la villa constituant le domicile conjugal appartenait au père de l’intimé, ce dernier l’ayant acquise en nom propre durant le mariage. Âgé de 65 ans, l’intimé souhaite aujourd’hui se rapprocher de sa famille qui habite dans la région, les trajets depuis [...] devenant difficiles à gérer. Pour les premiers juges, l’appelante n’a pas invoqué de motif important pour y demeurer, le motif social de la vie de quartier pouvant être écarté, un témoin ayant déclaré que, bien qu’intégrée dans le quartier, elle ne recevait ses voisins ou sa communauté qu’une à deux fois par mois. Le fait que l’appelante ait occupé la villa durant la séparation n’est pas décisif, dès lors que cet élément aléatoire est dû uniquement à la durée de la procédure. Quant au déracinement qu’elle fait valoir, il ne l’emporte pas sur les motifs affectifs et pratiques invoqués par l’intimé, dans la mesure où il n’est nullement établi que le refus d’un droit d’habitation ou d’un usufruit empêcherait l’appelante de se reloger dans la région et de continuer ainsi à fréquenter les gens qu’elle connaît. S’agissant des enfants majeurs du couple, âgés de 20 ans et de 26 ans, on ne peut retenir des allégations de l’appelante que ceux-ci ne seraient pas installés de manière indépendante hors de la villa familiale, ni qu’ils s’y rendraient à une fréquence dépassant les visites ou les séjours usuels, ni que les relations entretenues avec leur père, en particulier en ce qui concerne I.S.________, ne leur permettraient plus de retrouver à l’avenir ce cadre familier. Les premiers juges ayant valablement fait usage du pouvoir d’appréciation qui leur est conféré par la loi (art. 4 CC), il y a lieu de confirmer la solution retenue et de ne pas octroyer un droit d’habitation, ni l’usufruit requis par l’appelante.</w:t>
      </w:r>
    </w:p>
    <w:p>
      <w:r>
        <w:rPr>
          <w:b/>
        </w:rPr>
        <w:t>E. 5</w:t>
      </w:r>
    </w:p>
    <w:p>
      <w:r>
        <w:t>a) L’appelante fait valoir que les premiers juges auraient violé la maxime des débats en rapport avec la fixation, qu’elle estime erronée, de sa contribution alimentaire. Elle conteste à cet égard le montant de 10'000 fr. qui a été retenu par les premiers juges à titre de loyer pour une maison comparable à celle qu’elle occupe actuellement et soutient que ses charges usuelles après le départ de ses enfants, s’élèveraient à 9’625</w:t>
      </w:r>
    </w:p>
    <w:p>
      <w:r>
        <w:t>- 18 - fr. et devraient également comprendre un montant de 4'300 fr. correspondant aux frais que prenait en charge l’intimé pour l’appelante durant la séparation. En outre, elle prétend qu’il y a lieu de rajouter à son budget mensuel un montant de 1'085 fr. pour les frais liés à l’installation d’une alarme ainsi que les frais de maintenance de cette installation qu’elle devrait assumer si elle était tenue de déménager. Enfin, l’appelante fait valoir qu’une note d’honoraires de son ancien conseil s’élevant à 88'770 fr. n’aurait toujours pas été acquittée et qu’il conviendrait en conséquence d’en tenir compte lors de la fixation de la contribution d’entretien. b/aa) Comme déjà mentionné (c. 3b/bb supra), quand il n’est pas possible, en raison de l’augmentation des frais qu’entraîne l’existence de deux ménages séparés, de conserver le niveau de vie antérieur, le créancier de l’entretien peut prétendre au même train de vie que le débiteur de l’entretien (ATF 129 III 7 c. 3.2). Lorsque le divorce est prononcé à l'issue d'une longue séparation d'environ dix ans, la situation de l'époux bénéficiaire durant cette période est en principe déterminante pour fixer le montant de la contribution d'entretien (ATF 132 III 598 c. 9.3 ; ATF 130 III 537 c. 2 ; ATF 129 III 7 c. 3.1.1 ; Pichonnaz, Commentaire romand, CC I, n. 20 ad art. 125 CC). bb) Aux termes de l’art. 4 al. 1 CPC-VD, le juge ne peut fonder son jugement sur d’autres faits que ceux qui ont été allégués dans l’instance et qui ont été admis par les parties, soit établis au cours de l’instruction selon les formes légales. Toutefois, il peut tenir compte de faits notoires, non particuliers à la cause, ainsi que de faits patents, implicitement admis par les parties et non allégués par une inadvertance manifeste (art. 4 al. 2 CPC-VD). L’art. 4 CPC-VD concrétise la maxime des débats, selon laquelle il appartient aux parties, et non au juge, de réunir les éléments du procès. La maxime des débats repose sur le principe de l’autonomie privée ; elle est le pendant, en matière de rassemblement des faits, du principe de disposition selon lequel le juge est lié par les conclusions</w:t>
      </w:r>
    </w:p>
    <w:p>
      <w:r>
        <w:t>- 19 - formulées par les parties (art. 3 CPC-VD). Elle impose en particulier aux parties les obligations d’alléguer les faits, de contester les faits allégués par la partie adverse et d’indiquer les moyens de preuve à l’appui des faits allégués. La maxime des débats n’empêche en principe pas le juge d’interpeller les parties, d’administrer les preuves et d’administrer d’office des preuves (Hohl, Procédure civile, t. I, Berne 2001, nn. 751 ss p. 146 ss). c) En l’espèce, faute de pouvoir établir les charges de l’appelante après le départ des enfants au moyen d’éléments allégués et prouvés, les premiers juges ont estimé qu’il convenait de retenir, à titre de charges mensuelles usuelles de la défenderesse, un montant de 10'000 fr. correspondant, compte tenu du départ des deux enfants majeurs de la maison familiale, aux deux tiers du montant de 15'000 fr. par lequel l’intimé contribuait à l’entretien de sa famille durant la séparation et qui était composé d’une contribution d’entretien, par 12'000 fr., ainsi que d’un montant de 3'000 fr. dont l’intimé s’acquittait par le paiement direct de diverses factures. A ces charges de 10'000 fr. s’ajoutaient un loyer de 10'000 fr. pour une maison comparable à celle que l’appelante occupait depuis la séparation ainsi qu’une charge fiscale de 2'952 fr. 55, si bien que les charges totales mensuelles de l’appelante devaient être arrêtées pour les premiers juges à 22'952 fr. 55. d) L’appelante allègue, pour la première fois en procédure d’appel, que ses dépenses usuelles, sans les charges directement assumées par l’intimé, s’élèveraient, après le départ des enfants, à 9'625 francs. Elle se fonde pour cela sur des pièces du dossier qui concernent la période allant du mois de décembre 2009 au mois de janvier 2013 (pièces 235/1 à 235/13). Or, à cette époque, les enfants du couple vivaient encore avec l’appelante, si bien qu’on ne saurait en tenir compte, le seul fait de retrancher 1'000 fr. aux charges alléguées pour compenser le départ des enfants n’étant à l’évidence pas suffisant compte tenu de l’importance des montants relatifs aux autres charges alléguées, notamment 2'500 fr. pour les frais de nourriture, 1'200 fr. pour le salaire de la femme de ménage et 350 fr. pour le chien. Il ressort en outre du dossier que l’appelante a versé</w:t>
      </w:r>
    </w:p>
    <w:p>
      <w:r>
        <w:t>- 20 - des montants mensuels de 1'000 fr. à son fils E.S.________ et de plusieurs centaines de francs à son fils I.S.________. Quant aux charges qui étaient directement acquittées par l’intimé, pour un montant estimé par l’appelante à 4'295 fr. 25, elles ont été prises en compte à juste titre par les premiers juges à hauteur de 3'000 fr., dès lors qu’elles correspondent en partie à des charges de propriétaire que l’appelante n’aura pas à supporter en tant que locataire de sa future habitation. C’est en particulier le cas des frais de jardinier, de ramoneur, des primes d’assurances et des impôts relatifs à l’immeuble. Il sied au demeurant de relever que l’appelante n’avait pas contesté la décision du 18 juillet 2011 dans laquelle ses charges avaient été arrêtées à 10'400 fr., si bien qu’au vu de qui précède et faute pour l’appelante d’avoir suffisamment établi et allégué les dépenses nécessaires après le départ des enfants de la maison familiale, le montant retenu par les premiers juges échappe à la critique. S’agissant du montant de 10'000 fr. retenu par les premiers juges à titre de frais de location d’une maison correspondant à celle actuellement occupée par l’appelante, celle-ci perd de vue qu’au cours de la procédure de première instance, elle avait allégué que le logement occupé durant la séparation équivaudrait à un loyer de 8'000 fr. (allégué n° 138). Il lui échappe également que le nouveau logement ne sera occupée que par elle seule, soit sans ses deux enfants. En outre, l’appelante n’a pas établi que, même s’il devait être admis que la villa familiale sise à [...] dispose d’une surface au sol de 240 m², celle-ci présenterait pour autant une surface habitable d’environ 800 m². Dès lors, les offres de location produites par l’appelante à titre de comparaison ne sont pas décisives. Compte tenu de ce qui précède, le montant de 10'000 fr. retenu à titre de loyer ne prête pas le flanc à la critique. S’agissant des frais relatifs à l’installation d’une alarme et de ses frais de maintenance, allégués pour la première fois en procédure d’appel, l’appelante ne démontre pas les raisons pour lesquelles elle n’a</w:t>
      </w:r>
    </w:p>
    <w:p>
      <w:r>
        <w:t>- 21 - pas pu les faire valoir en temps utile. Quant à la note d’honoraires impayée, l’appelante ne soutient pas que l’arrêt de la Cour de céans du 1er mai 2013 confirmant le refus de l’allocation d’une provisio ad litem ne serait pas entré en force. Il n’est au surplus pas nécessaire d’examiner plus avant la question de savoir quel train de vie menaient les époux avant leur séparation, dès lors qu’elle n’est pas décisive. Au vu de ce qui précède, le résultat auquel ont abouti les premiers juges doit être confirmé, l’appelante ne contestant au surplus ni la méthode de calcul de la charge fiscale, ni le versement en capital de la contribution d’entretien.</w:t>
      </w:r>
    </w:p>
    <w:p>
      <w:r>
        <w:rPr>
          <w:b/>
        </w:rPr>
        <w:t>E. 6</w:t>
      </w:r>
    </w:p>
    <w:p>
      <w:r>
        <w:t>En définitive, l’appel doit être rejeté et le jugement entrepris confirmé. Les frais judiciaires de deuxième instance, arrêtés à 20'000 fr. (art. 63 al. 3 TFJC [tarif des frais judiciaires civils du 28 septembre 2010, RSV 270.11.5]), seront mis à la charge de l’appelante, qui succombe (art. 106 al. 1 CPC). L’appelante versera à l’intimé la somme de 7’000 fr. à titre de dépens de deuxième instance (art.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