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TU07.036245 vom 15. Oktober 2009</w:t>
      </w:r>
    </w:p>
    <w:p>
      <w:r>
        <w:t>VD Tribunal cantonal, 2009-10-15, FR</w:t>
      </w:r>
    </w:p>
    <w:p>
      <w:r>
        <w:rPr>
          <w:b/>
        </w:rPr>
        <w:t xml:space="preserve">Quelle: </w:t>
      </w:r>
      <w:r>
        <w:t>https://mcp.opencaselaw.ch/entscheid/vd_gerichte_TU07.036245</w:t>
      </w:r>
    </w:p>
    <w:p>
      <w:r>
        <w:t>FR: VD_GERICHTE TU07.036245 du 15 octobre 2009</w:t>
      </w:r>
    </w:p>
    <w:p>
      <w:r>
        <w:t>IT: VD_GERICHTE TU07.036245 del 15 ottobre 2009</w:t>
      </w:r>
    </w:p>
    <w:p>
      <w:pPr>
        <w:pStyle w:val="Heading2"/>
      </w:pPr>
      <w:r>
        <w:t>Erwägungen</w:t>
      </w:r>
    </w:p>
    <w:p>
      <w:r>
        <w:rPr>
          <w:b/>
        </w:rPr>
        <w:t>E. 4</w:t>
      </w:r>
    </w:p>
    <w:p>
      <w:r>
        <w:t>Tant la recourante principale que le recourant par voie de jonction contestent le montant retenu par le tribunal comme capacité contributive du débirentier et, partant, les contributions d'entretien. a) Selon l'art. 285 al. 1 CC, applicable par renvoi de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Quant à l'obligation d'entretien après divorce, elle repose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129 III 7, FamPra 2003 169; ATF 128 III 257; 127 III 136 c. 2a, rés. JT 2002 I 253), soit notamment les revenus et la fortune des époux (art. 125 al. 2 ch. 5 CC). b) Les premiers juges ont retenu un salaire mensuel net du débirentier de 4'205 francs. Ils ont déterminé la contribution d'entretien due aux enfants en fonction d'un pourcentage de ce revenu net, soit 25 % pour deux enfants mineurs. Ayant considéré que l'épouse serait en mesure</w:t>
      </w:r>
    </w:p>
    <w:p>
      <w:r>
        <w:t>- 14 - d'acquérir son indépendance financière à 100 % au plus tard à fin décembre 2009, ils ont calculé la contribution due jusqu'à ce terme en déduisant du salaire mensuel net du débirentier ses charges incompressibles ainsi que le montant des pensions dues pour les enfants. c) En l'espèce, le recourant par voie de jonction a été licencié au 28 février 2009 par lettre de son employeur du 29 décembre 2008. Il s'est inscrit dès le 16 février 2009 auprès du registre du commerce comme titulaire d'une entreprise individuelle. Le recourant invoque différents frais inhérents à sa nouvelle activité et à son statut d'indépendant. Il fait valoir pour les mois d'avril, mai et juin 2009 des chiffres d'affaires respectivement de 125 fr., 6'468 fr. 50 et 7'770 fr. 60 et des frais professionnels de 2'660 fr. 90, 2'032 fr. 50 et 1'710 fr. 35. Il soutient en outre être débiteur de son ancien employeur pour l'achat d'un véhicule, ainsi que de son amie. En l'état, la situation de fait telle qu'établie par le jugement de première instance ne correspond plus à la réalité, puisque le débirentier n'est plus salarié. La cour de céans ne dispose toutefois pas des éléments nécessaires pour déterminer la quotité disponible du recourant et statuer sur sa capacité contributive. Il n'est pas possible de déterminer les revenus mensuels du débirentier sur la base des seuls trois premiers mois de la nouvelle activité indépendance. En effet, il s'agit d'un laps de temps trop court pour être représentatif de l'activité d'une entreprise, de ses charges et de son chiffre d'affaire. Il conviendrait de pouvoir examiner les chiffres de l'entreprise après une période d'activité plus importante, afin de pouvoir déterminer les charges de l'entreprise de manière précise, de faire une moyenne du chiffre d'affaires et, partant, des revenus du recourant par voie de jonction. S'agissant de points déterminants pour la fixation des contributions d'entretien dues aux enfants mineurs et à l'épouse, il convient d'annuler d'office les chiffres VII à XI du dispositif. Il appartiendra à l'autorité de première instance de reprendre l'instruction ab ovo sur les questions financières, afin de procéder à une analyse détaillée des</w:t>
      </w:r>
    </w:p>
    <w:p>
      <w:r>
        <w:t>- 15 - revenus et des charges de l'entreprise individuelle du débirentier, sur une période d'environ douze mois. Le salaire d'apprenti des enfants à charge devra également être déterminé.</w:t>
      </w:r>
    </w:p>
    <w:p>
      <w:r>
        <w:rPr>
          <w:b/>
        </w:rPr>
        <w:t>E. 5</w:t>
      </w:r>
    </w:p>
    <w:p>
      <w:r>
        <w:t>En conclusion, les chiffres VII à XI du dispositif du jugement doivent être annulés et la cause renvoyée au Tribunal civil de l'arrondissement de La Côte pour instruction complémentaire et nouvelle décision. Les frais de deuxième instance de la recourante principale et du recourant par voie de jonction sont arrêtés à 300 fr. chacun (art. 233 TFJC, Tarif du 4 décembre 1984 des frais judiciaires en matière civile, RSV 270.11.5). Compte tenu de l'annulation d'office des chiffres du dispositif portant sur les contributions d'entretien, objets des deux recours, on ne saurait considérer que l'une des parties obtient gain de cause. Il convient par conséquent de compenser les dépens de deuxième instance. Par ces motifs, la Chambre des recours du Tribunal cantonal, statuant à huis clos, prononce : I. Les chiffres VII à XI du dispositif du jugement entrepris sont annulés, la cause étant renvoyée au Tribunal civil de l'arrondissement de La Côte pour instruction complémentaire et nouvelle décision. Le jugement est confirmé pour le surplus. II. Les frais de deuxième instance sont arrêtés à 300 fr. (trois cents francs) pour la recourante V.________, et à 300 fr. (trois</w:t>
      </w:r>
    </w:p>
    <w:p>
      <w:r>
        <w:t>- 16 - cents francs) pour le recourant par voie de jonction A.R.________. III. Les dépens de deuxième instance sont compensés. IV. L'arrêt motivé est exécutoire. Le président : La greffière : Du 15 octobre 2009 Le dispositif de l'arrêt qui précède est communiqué par écrit aux intéressés. La greffière : Du L'arrêt qui précède, dont la rédaction a été approuvée à huis clos, est notifié en expédition complète, par l'envoi de photocopies, à : - Me Franck-Olivier Karlen (pour V.________), - Me Olivier Buttet (pour A.R.________). La Chambre des recours considère que la valeur litigieuse est supérieure à 30'000 francs. Le présent arrêt peut faire l'objet d'un recours en matière civile devant le Tribunal fédéral au sens des art. 72 ss LTF (loi du 17 juin</w:t>
      </w:r>
    </w:p>
    <w:p>
      <w:r>
        <w:t>- 17 - 2005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