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TU07.028348 vom 10. September 2009</w:t>
      </w:r>
    </w:p>
    <w:p>
      <w:r>
        <w:t>VD Tribunal cantonal, 2009-09-10, FR</w:t>
      </w:r>
    </w:p>
    <w:p>
      <w:r>
        <w:rPr>
          <w:b/>
        </w:rPr>
        <w:t xml:space="preserve">Quelle: </w:t>
      </w:r>
      <w:r>
        <w:t>https://mcp.opencaselaw.ch/entscheid/vd_gerichte_TU07.028348</w:t>
      </w:r>
    </w:p>
    <w:p>
      <w:r>
        <w:t>FR: VD_GERICHTE TU07.028348 du 10 septembre 2009</w:t>
      </w:r>
    </w:p>
    <w:p>
      <w:r>
        <w:t>IT: VD_GERICHTE TU07.028348 del 10 settembre 2009</w:t>
      </w:r>
    </w:p>
    <w:p>
      <w:pPr>
        <w:pStyle w:val="Heading2"/>
      </w:pPr>
      <w:r>
        <w:t>Erwägungen</w:t>
      </w:r>
    </w:p>
    <w:p>
      <w:r>
        <w:rPr>
          <w:b/>
        </w:rPr>
        <w:t>E. 3</w:t>
      </w:r>
    </w:p>
    <w:p>
      <w:r>
        <w:t>Le recourant ayant retiré ses conclusions relatives à l'action en divorce de l'intimée et au partage de la prévoyance professionnelle, seule est litigieuse la question de la contribution d'entretien allouée à l'intimée. A cet égard, le recourant soutient que le mariage n'a pas eu d'impact sur la situation de l'intimée, dès lors qu'il a été de courte durée</w:t>
      </w:r>
    </w:p>
    <w:p>
      <w:r>
        <w:t>- 13 - et qu'au moment du mariage, à savoir au mois de janvier 2004, celle-ci était au chômage. En outre, l'intimée est au bénéfice d'une formation d'employée de commerce, ce qui, selon le recourant, devrait lui permettre d'assumer son entretien. Il conteste être responsable de l'absence d'activité lucrative actuelle de l'intimée.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w:t>
      </w:r>
    </w:p>
    <w:p>
      <w:r>
        <w:t>- 14 -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 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w:t>
      </w:r>
    </w:p>
    <w:p>
      <w:r>
        <w:t>- 15 -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b) Selon l'art. 53 al. 1 CO (Code des obligations du 30 mars 1911; RS 220), le juge civil n'est pas lié par les dispositions du droit criminel en matière d'imputabilité, ni par l'acquittement prononcé au pénal, pour décider s'il y a eu faute commise ou si l'auteur de l'acte illicite était capable de discernement. Le jugement pénal ne lie pas davantage le juge civil en ce qui concerne l'appréciation de la faute et la fixation du dommage (art. 53 al. 2 CO). Le Tribunal fédéral a précisé que l'autorité de la chose jugée au pénal sur le civil relevait de la procédure, partant du droit cantonal, hors les points limitativement énoncés par la disposition susmentionnée (ATF 125 III 401 c. 3, JT 2000 I 110; ATF 120 Ia 101 c. 2e; ATF 107 II 151, JT 1981 I 604). Selon la jurisprudence de la cour de céans, l'appréciation des faits par le juge pénal ne lie pas le juge civil. En outre, celui-ci n'est pas non plus lié, en vertu du principe de son autonomie, par les faits établis au cours du procès pénal (CREC I du 25 novembre 1998 n° 580 c. 3b et références; JT 1969 III 89; JT 1959 III 11). c) En l'espèce, le mariage des parties a duré moins de cinq ans et celles-ci n'ont pas eu d'enfant. Il est donc présumé ne pas avoir eu de répercussions négatives sur l'autonomie de l'intimée. Toutefois, cette présomption est mise à néant par le fait qu'il est établi par les certificats médicaux produits que le mariage avec le recourant est la cause des troubles de l'adaptation et de la dépression réactionnelle de l'intimée diagnostiqués par la Dresse S.________ le 9 octobre 2008. Ni la circonstance que le recourant a été mis au bénéfice d'un non-lieu à l'issue de la procédure ouverte par l'intimée pour voies de fait qualifiées, ni l'appréciation des faits par le juge pénal ne lient la cour de céans vu l'art.</w:t>
      </w:r>
    </w:p>
    <w:p>
      <w:r>
        <w:t>- 16 - 53 al. 1 CO et la jurisprudence susmentionnée. Au demeurant, les troubles psychologiques constatés par les certificats médicaux sont de nature à confirmer la véracité des déclarations que l'intimée a faites aux médecins qu'elle a consultés et aux témoins, en particulier au témoin U.________, savoir que le recourant "avait changé de visage", qu'il hurlait et lui faisait des scènes, ce témoin constatant en outre que l'intimée était dans un mauvais état psychique. A cet égard le recourant n'a pas établi ses allégués nos 49 et 50 relatifs au caractère inhérent à l'intimée des difficultés psychologiques qu'elle rencontre et ce caractère ne ressort pas du dossier. Le nombre des incapacités de travail et la durée pendant laquelle elles sont survenues établit que les violences en tous cas psychologiques subies par l'intimée n'ont pas été des événements isolés. Les troubles qui en sont résulté chez l'intimée sont de nature à entraver la prise d'une activité lucrative, de sorte qu'il y a lieu de considérer que le mariage a eu une répercussion négative sur l'autonomie économique de l'intimée. Il est en conséquence sans pertinence que celle-ci ait été au chômage pendant une année avant le mariage. L'allocation d'une contribution d'entretien à l'intimé est ainsi fondée dans son principe. Pour le surplus, les considérations des premiers juges relatives au montant de la contribution d'entretien et à sa durée, complètes et convaincantes, peuvent être confirmées par adoption de motifs (art. 471 al. 3 CPC).</w:t>
      </w:r>
    </w:p>
    <w:p>
      <w:r>
        <w:rPr>
          <w:b/>
        </w:rPr>
        <w:t>E. 4</w:t>
      </w:r>
    </w:p>
    <w:p>
      <w:r>
        <w:t>En conclusion, le recours doit être rejeté en application de l'art. 465 al. 1 CPC et le jugement confirmé. Les frais de deuxième instance du recourant sont arrêtés à 300 fr. (art. 233 TFJC; tarif du 4 décembre 1984 des frais judiciaires en matière civile; RSV 270.11.5).</w:t>
      </w:r>
    </w:p>
    <w:p>
      <w:r>
        <w:t>- 17 - Par ces motifs, la Chambre des recours du Tribunal cantonal, statuant à huis clos, en application de l'art. 465 al. 1 CPC, prononce : I. Le recours est rejeté. II. Le jugement est confirmé. III. Les frais de deuxième instance du recourant A.Q.________ sont arrêtés à 300 fr. (trois cents francs). IV. L'arrêt motivé est exécutoire. Le président : Le greffier : Du 10 septembre 2009 Le dispositif de l'arrêt qui précède est communiqué par écrit aux intéressés. Le greffier :</w:t>
      </w:r>
    </w:p>
    <w:p>
      <w:r>
        <w:t>- 18 - Du L'arrêt qui précède, dont la rédaction a été approuvée à huis clos, est notifié en expédition complète, par l'envoi de photocopies, à : - Me Albert von Braun (pour A.Q.________), - Me Valérie Elsner Guignard (pour B.Q.________).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