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TU06.036375 vom 5. Juni 2015</w:t>
      </w:r>
    </w:p>
    <w:p>
      <w:r>
        <w:t>VD Tribunal cantonal, 2015-06-05, FR</w:t>
      </w:r>
    </w:p>
    <w:p>
      <w:r>
        <w:rPr>
          <w:b/>
        </w:rPr>
        <w:t xml:space="preserve">Quelle: </w:t>
      </w:r>
      <w:r>
        <w:t>https://mcp.opencaselaw.ch/entscheid/vd_gerichte_TU06.036375</w:t>
      </w:r>
    </w:p>
    <w:p>
      <w:r>
        <w:t>FR: VD_GERICHTE TU06.036375 du 5 juin 2015</w:t>
      </w:r>
    </w:p>
    <w:p>
      <w:r>
        <w:t>IT: VD_GERICHTE TU06.036375 del 5 giugno 2015</w:t>
      </w:r>
    </w:p>
    <w:p>
      <w:pPr>
        <w:pStyle w:val="Heading2"/>
      </w:pPr>
      <w:r>
        <w:t>Erwägungen</w:t>
      </w:r>
    </w:p>
    <w:p>
      <w:r>
        <w:rPr>
          <w:b/>
        </w:rPr>
        <w:t>E. 3</w:t>
      </w:r>
    </w:p>
    <w:p>
      <w:r>
        <w:t>L’appelante reproche aux premiers juges d’avoir ordonné la vente aux enchères de la villa de T.________, copropriété des parties, plutôt que de lui attribuer ce bien en pleine propriété. Elle fait valoir que la valeur vénale de 1'150'000 fr., retenue par l’expertise notariale du 8 mai 2009, serait déterminante pour fixer l’indemnité due à son conjoint, d’autant qu’aucune des parties n’aurait remis en cause l’expertise sur ce point. L’appelante se prévaut d’un intérêt prépondérant en raison de son propre lien affectif et celui des enfants avec la villa, d’une part, et de son</w:t>
      </w:r>
    </w:p>
    <w:p>
      <w:r>
        <w:t>- 28 - état de santé qui serait incompatible avec un déménagement, d’autre part. Elle estime enfin avoir démontré, au moyen des pièces 31 et 32 du bordereau du 22 mai 2014, qu’elle disposerait des moyens nécessaires pour désintéresser son conjoint.</w:t>
      </w:r>
    </w:p>
    <w:p>
      <w:r>
        <w:rPr>
          <w:b/>
        </w:rPr>
        <w:t>E. 3.1</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 4.1; TF 5A_87/2010 du 5 mai 2010 c. 3.1 et la référence citée). Si la liquidation du régime matrimonial n'impose pas nécessairement le partage de la copropriété, les époux saisiront toutefois en général cette occasion pour y procéder (TF 5C.87/2003 précité c. 4.1).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de séparation de corps ou de nullité de mariage, le partage n’intervient pas en temps inopportun et la condition du but durable n’est plus réalisée (ATF 138 III 150 c. 5.1.1, ATF 119 II 197 c. 2).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(TF 5A_600/2010, SJ 2011 I p. 245, 247; ATF 119 II 197 c. 2, JT 1995 I 551). L’intérêt prépondérant peut aussi consister à permettre aux</w:t>
      </w:r>
    </w:p>
    <w:p>
      <w:r>
        <w:t>- 29 - enfants de demeurer dans l’immeuble, à tout le moins lorsqu’ils sont scolarisés et que cela est financièrement possible (De Luze/Page/Stoudmann, Droit de la famille, Code annoté, Lausanne 2013, n. 2.6 ad art. 205 al. 2 CC). Le juge doit procéder à une pesée des intérêts (art. 4 CC), que le Tribunal fédéral ne revoit qu'avec réserve, n'intervenant que si le juge cantonal a tenu compte d'éléments qui ne jouaient aucun rôle ou a négligé des circonstances importantes (ATF 127 III 136 c. 3a; ATF 119 II 197 c. 2).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 1.2.5; TF 5C.325/2001 du 4 mars 2001 c. 4). Le désintéressement du conjoint peut, pour une part, intervenir sous la forme d'une reprise de la dette contractée solidairement au seul nom de l'époux réclamant l'attribution (TF 5C.195/2004 du 22 novembre 2004 c. 4.4; TF 5C.325/2001 du 4 mars 2001 c. 4 et les références citées). Une telle reprise de dette nécessite le consentement du créancier (art. 176 CO [Code des obligations du 30 mars 1911, RS 220]).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quote-parts, sans égard au financement (ATF 138 III 150 c. 5.1.2; TF 5A_600/2010 du 5 janvier 2011 c. 4.1, publié in FamPra.ch 2011 p. 417). Le Tribunal fédéral a précisé l’ATF 138 III 150 précité en ce sens que, conformément à l’art. 206 al. 1 CC, la participation à la plus-value était la règle, et que si les époux voulaient l’exclure, ils devaient passer une convention écrite à cet effet, comme le prévoyait l’art. 206 al. 3 CC (TF 5A_621/2013 du 20 novembre 2014 c. 5.4.3, publié in FamPra.ch 2015 p. 428, spéc. p. 436 s). Si le bien est attribué à l'un des époux, l'indemnité due à l'autre en contre-partie de cette attribution</w:t>
      </w:r>
    </w:p>
    <w:p>
      <w:r>
        <w:t>- 30 - comprend donc, d'une part, le montant des propres investissements de celui-ci et, d'autre part, la moitié de la plus-value (TF 5A_464/2012 du 30 novembre 2012 c. 6.3.1). La plus-value dont le bien a profité se calcule en déduisant de la valeur vénale du bien les montants liés aux investissements effectués par chacune des parties. Chaque partie est en effet en droit de récupérer les fonds qu'elle a investis lors de l'acquisition du bien, ainsi que la moitié de l’investissement effectué sous forme de travaux, cas échéant (ibidem). En l’absence d’un excédent de valeur de l’immeuble, l’intérêt de l’époux auquel le bien n’est pas attribué est d’être libéré de la responsabilité solidaire pour les dettes hypothécaires grevant l’immeuble (TF 5A_283/2011 du 29 août 2011 c. 2, publié in FamPra.ch 2011 p. 965).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 5, publié in SJ 2011 I p. 245, 249). Le juge ordonne le partage en nature ou la vente aux enchères publiques ou entre les copropriétaires (art. 651 al. 2 CC). En ce qui concerne le mode des enchères, le juge décide selon les circonstances de l'espèce. Lorsque le partage en nature n'entre pas en considération et que l'autre conjoint entend tirer le plus grand profit possible de sa part, il y a lieu d'ordonner la vente aux enchères publiques de l'immeuble (De Luze et al., op. cit., n. 2.5 ad art. 205 al. 2 CC et les références citées).</w:t>
      </w:r>
    </w:p>
    <w:p>
      <w:r>
        <w:rPr>
          <w:b/>
        </w:rPr>
        <w:t>E. 3.2</w:t>
      </w:r>
    </w:p>
    <w:p>
      <w:r>
        <w:t>L’appelante fait valoir la violation de l’art. 205 al. 2 CC ainsi que la constatation inexacte des faits et une appréciation erronée des preuves administrées.</w:t>
      </w:r>
    </w:p>
    <w:p>
      <w:r>
        <w:rPr>
          <w:b/>
        </w:rPr>
        <w:t>E. 3.2.1</w:t>
      </w:r>
    </w:p>
    <w:p>
      <w:r>
        <w:t>En l’espèce, les premiers juges ont estimé qu’il était concevable que l’appelante dispose d’un « certain intérêt » à ce que le</w:t>
      </w:r>
    </w:p>
    <w:p>
      <w:r>
        <w:t>- 31 - bien lui soit attribué en pleine propriété, puisqu’elle y vivait depuis la séparation en 2004 avec les enfants et que ces derniers semblaient y être très attachés et souhaitaient y demeurer à tout le moins jusqu’à la fin de leurs études (jugement, p. 39). Les premiers juges n’ont toutefois pas approfondi cette question ni celle de la capacité de l’appelante à désintéresser son conjoint, au motif que l’éventuelle indemnité due par l’appelante à l’intimé devait être calculée sur la base de la valeur vénale de l’immeuble, valeur qu’il n’était toutefois pas possible d’arrêter, dès lors que selon les explications fournies par l’expert judiciaire à l’audience du 28 mai 2014, il n’était pas exclu que la valeur vénale arrêtée à 1'150'000 fr. dans le cadre de l’expertise immobilière du 8 mai 2009 soit aujourd’hui légèrement plus élevée. Dans son rapport du 23 décembre 2010, l’expert judiciaire indiqué que la valeur vénale avait été estimée à 1'150'000 fr. par expertise immobilière du 8 mai 2009 (annexe 5 de l’expertise du 23 décembre 2010). L’expert a relevé le désaccord de l’époux sur ce point, qui estimait que l'expertise n’avait pas été réalisée sur un pied d’égalité entre les parties et qu'elle était devenue caduque dans l’intervalle. L’expert a souligné qu’il avait assisté personnellement à la visite de la villa en vue de son estimation et que celle-ci s’était déroulée conformément aux usages. Par ailleurs, le marché de l’immobilier n’avait pas changé de façon fondamentale dans le région concernée depuis 2009. Finalement, l’expertise a laissé ouverte la question de la valeur de la propriété, au motif que les parties en étaient copropriétaires et que ce bien se rattachait aux acquêts (ch. 4.1.3), relevant que le sort de la villa demeurait incertain (ch. 4.1.4). Entendu lors de l’audience du 28 mai 2014, l’expert judiciaire a indiqué qu’à l’époque où il avait rendu sa propre expertise (décembre 2010), la valeur vénale de la maison avait été estimée sur la base du rapport effectué en mai 2009, à un montant de 1'150'000 francs. Après une hausse sensible du marché immobilier pendant trois ou quatre ans, les valeurs étaient revenues à peu près à ce qu’elles étaient en 2009. Selon lui, la valeur de l’immeuble était ainsi « peut-être légèrement</w:t>
      </w:r>
    </w:p>
    <w:p>
      <w:r>
        <w:t>- 32 - supérieure à celle qui avait alors été retenue ». S’agissant de l’éventuelle offre d’achat présentée par l’intimé à 1'670'000 fr., l’expert a déclaré qu’il devait s’agir d’une valeur d’amateur et que lorsqu’il évoquait une valeur légèrement supérieure à celle de 2009, ce n’était pas dans une telle proportion.</w:t>
      </w:r>
    </w:p>
    <w:p>
      <w:r>
        <w:rPr>
          <w:b/>
        </w:rPr>
        <w:t>E. 3.2.2</w:t>
      </w:r>
    </w:p>
    <w:p>
      <w:r>
        <w:t>La question se pose de savoir si la valeur vénale de 1'150'000 fr. aurait dû être prise en compte par les premiers juges, sur la base des rapports d’expertise des 8 mai 2009 et 23 décembre 2010 ainsi que des explications de l’expert judiciaire à l’audience du 28 mai 2014, celui-ci ayant déclaré que les valeurs du marché étaient revenues à peu près à celles prévalant en 2009, d’une part, et que la valeur actuelle de l’immeuble ne serait, cas échéant, que légèrement supérieure à celle retenue en 2009, d’autre part. D’un autre côté, comme l’ont relevé les premiers juges, l’expert ne s’est pas contenté de renvoyer à la valeur vénale de 1'150'000 fr. retenue en 2009, puisqu’il a indiqué à deux reprises qu’il estimait que celle-ci devait désormais être légèrement supérieure, sans articuler de montant précis à cet égard. On ne saurait d’ailleurs retenir, comme le prétend l’appelante, que l’intimé aurait acquiescé au montant de 1'150'000 fr. en ne contestant pas l’expertise du 23 décembre 2010, puisque ce rapport mentionne son avis contraire sur ce point et renonce à trancher la question de la valeur de la villa, au motif que les parties en sont copropriétaires et qu’elle se rattache aux acquêts.</w:t>
      </w:r>
    </w:p>
    <w:p>
      <w:r>
        <w:rPr>
          <w:b/>
        </w:rPr>
        <w:t>E. 3.2.3</w:t>
      </w:r>
    </w:p>
    <w:p>
      <w:r>
        <w:t>Quoi qu’il en soit, cette question peut demeurer indécise, dans la mesure où l'appelante – qui supporte le fardeau de la preuve quant à l’existence d’un lien particulier avec le bien et sa capacité à indemniser pleinement son conjoint – n'établit pas que ces deux conditions seraient réalisées en l'espèce. En effet, hormis l’attachement dont se prévaut l’appelante, il ne ressort pas des pièces du dossier qu’elle justifierait d'une relation particulièrement étroite avec l'immeuble en question, résultant par exemple du fait qu'elle aurait pris une part décisive dans l’acquisition de celui-ci, qu’elle l'aurait apporté au mariage, qu'elle aurait procédé à des</w:t>
      </w:r>
    </w:p>
    <w:p>
      <w:r>
        <w:t>- 33 - aménagements particuliers ou qu’elle en aurait un quelconque besoin pour l’exercice de sa profession. En outre, vu l’âge des enfants (23 et 26 ans) et bien qu’ils n’aient pas encore achevé leurs études, l’argument selon lequel ces derniers devraient pouvoir continuer à vivre dans la villa auprès de leur mère, qui relève du besoin de stabilité d'enfants mineurs, n’est plus pertinent au stade de la présente procédure. Les enfants pourront d'ailleurs continuer à vivre avec leur mère jusqu’à la fin de leurs études et seront ensuite sans doute amenés à quitter l'environnement familial afin de débuter leur vie active. Par ailleurs, le fait que l’état de santé de l’appelante ne lui permette pas de travailler à un taux supérieur à 50% ne signifie pas qu’elle serait empêchée d'organiser un déménagement. En définitive, bien qu’une certaine stabilité résulte de la situation actuelle, cela ne saurait suffire à établir que l'appelante entretiendrait une relation particulièrement étroite avec la villa, justifiant que celle-ci lui soit attribuée en pleine propriété. Par ailleurs, même en retenant une valeur vénale de 1'150'000 fr. favorable à l'appelante, il n'est pas démontré que cette dernière disposerait des moyens nécessaires pour désintéresser pleinement son conjoint. Selon la pièce 31, la banque n’a pas accepté qu’elle reprenne l’intégralité de la dette hypothécaire (815'000 fr.) à son seul nom, mais uniquement un montant de 360'000 francs. Il résulte également de ce document que l’appelante devra verser à la banque, à titre d’amortissement anticipé du contrat en vigueur, un montant de 455'000 fr. plus une pénalité de 8'841 fr., soit un montant total de 463'841 francs. A cela s’ajoute l'indemnité qu'elle devra payer à son conjoint. A cet égard, l’appelante, qui avait offert de verser un montant de 167'500 fr. dans ses conclusions motivées du 22 mai 2014, a déclaré lors de l’audience du 28 mai 2014 devant l’autorité de première instance qu’elle réduisait cette somme à 75'500 francs. Aucune motivation quant à ce montant ni celui de 167'500 fr. ne ressort du dossier de première instance ou de son mémoire d’appel. En tenant compte de la valeur vénale de 1'150'000 fr., du prix de revient fixé à 1'080'000 fr. selon le chiffre 4.1.1 de l'expertise du 23</w:t>
      </w:r>
    </w:p>
    <w:p>
      <w:r>
        <w:t>- 34 - décembre 2010 (dont 815'000 fr. financé par un prêt hypothécaire et le reste par des investissements des parties), ainsi que des travaux réalisés aussitôt après l’achat, d’un coût estimé à 25'000 fr., la plus-value du bien immobilier peut être estimée à 45'000 fr. (1'150'000 fr. – [1'080'000 fr. + 25'000 fr.]). L'intimé a le droit de récupérer les fonds qu’il a investis lors de l’acquisition du bien (6'438 fr. 05 et 48'627 fr. 20 selon ch. 4.1.2 expertise) et peut prétendre à la moitié de la plus-value (22'500 fr.) ainsi qu'à la moitié de l’investissement correspondant aux travaux réalisés (12'500 fr.) (cf. TF 5A_464/2012 du 30 novembre 2012 c. 6.3.1), de sorte que l'indemnité qui lui est due par l'appelante peut être arrêtée à 90'065 fr. 25. Au total, l'appelante devra ainsi disposer de fonds s'élevant à 553'906 fr. 25 pour acquérir l’immeuble en question (463'841 fr. + 90'065 fr. 25), sans compter le remboursement des avoirs LPP investis par son époux dans l’achat de la villa (expertise p. 15 ch. 6.2). La pièce 32 montre que l’appelante pourrait disposer d’un montant de 311'461 fr. 65 provenant de sa prévoyance professionnelle. Pour le surplus, en l'absence de toute précision, les photocopies produites par l’appelante à l’audience du 28 mai 2014 devant l’autorité de première instance – aux termes desquelles ses parents déclaraient pouvoir lui prêter chacun la somme de 200'000 fr. – ne constituent pas une preuve convaincante de sa capacité à assumer les conséquences financières précitées. L’appelante ne fait d’ailleurs aucune référence à ces documents, se contentant de renvoyer, s’agissant de sa capacité financière à désintéresser son conjoint, aux pièces 31 et 32 de son bordereau du 22 mai 2014 (appel p. 6). Au vu des allégués de l’appelante en première et deuxième instances, laquelle s’est bornée à affirmer qu’elle avait, par courrier du 22 mai 2014 et de vive voix à l’audience de jugement du 28 mai 2014, précisé la conclusion VII prise au pied de sa réponse du 30 mars 2007, en ce sens que son époux lui cède sa part de copropriété moyennant une indemnité de 75'500 fr., sans plus ample explication, ni remise en cause étayée de l’expertise s’agissant de l’acquisition et du financement de la villa, il n’y a pas lieu de déroger au résultat convaincant auquel parvient</w:t>
      </w:r>
    </w:p>
    <w:p>
      <w:r>
        <w:t>- 35 - l’expert. A défaut d’établir de manière convaincante qu’elle disposerait des moyens nécessaires pour désintéresser son conjoint (cf. art. 311 al. 1 CPC et art. 8 CC), l'appelante ne peut dès lors prétendre à l’attribution de la villa en pleine propriété. L'intérêt purement économique de l'intimé, qui justifie que l'attribution de la villa à son épouse ne puisse avoir lieu que contre pleine indemnisation, conduit ainsi également à retenir que le partage doit être ordonné. L'intimé souhaitant tirer le plus grand profit possible de sa part, la vente aux enchères publiques de l'immeuble se justifie (cf. De Luze et al., op. cit., n. 2.5 ad art. 205 al. 2 CC et les références citées). Au vu de ce qui précède, le grief de l'appelante doit être rejeté.</w:t>
      </w:r>
    </w:p>
    <w:p>
      <w:r>
        <w:rPr>
          <w:b/>
        </w:rPr>
        <w:t>E. 3.3</w:t>
      </w:r>
    </w:p>
    <w:p>
      <w:r>
        <w:t>Le montant de 2'800 fr. retenu par les premiers juges au titre de loyer d'un appartement de quatre pièces pour l’appelante et les enfants dans la région concernée – dont la quotitié n'est au demeurant pas contestée – peut ainsi être confirmé.</w:t>
      </w:r>
    </w:p>
    <w:p>
      <w:r>
        <w:rPr>
          <w:b/>
        </w:rPr>
        <w:t>E. 4</w:t>
      </w:r>
    </w:p>
    <w:p>
      <w:r>
        <w:t>S’agissant du montant de la contribution d’entretien fixée en sa faveur, l’appelante reproche aux premiers juges d'avoir écarté de son budget un certain nombre de charges, qui seraient établies, à savoir l’aide de ménage (630 fr.), les frais relatifs aux médicaments non pris en charge (151 fr. 55), ainsi que le leasing de son nouveau véhicule (668 fr. 50). L’appelante en déduit que le total de ses charges s’élève à 7'268 fr. 25, de sorte que la pension post-divorce aurait dû être arrêtée à 3'000 fr. par mois.</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w:t>
      </w:r>
    </w:p>
    <w:p>
      <w:r>
        <w:t>- 36 -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Dans son principe, comme dans son montant et sa durée, cette prestation doit être fixée en tenant compte des éléments énumérés de façon non exhaustive à l’art. 125 al. 2 ch. 1 à 8 CC (ATF 132 III 598 c. 9.1; ATF 129 III 7; FamPra.ch 2003 p. 169; ATF 127 III 136 c. 2a,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(ATF 119 II 314 c. 4a; ATF 117 II 519 c. 4c; ATF 110 II 116 c. 2a). La loi ne prescrit pas de méthode de calcul particulière pour arrêter les contributions d'entretien (TF 5A_220/2010 du 20 août 2010 c. 2.1; ATF 128 III 411 c. 3.2.2). La détermination de la contribution d'entretien relève de l'appréciation du juge du fait, qui applique les règles du droit et de l'équité (art. 4 CC; ATF 116 II 103 c.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(TF 5A_178/2012 du 20 septembre 2012 c. 5.2; ATF 127 III 136 c. 3a).</w:t>
      </w:r>
    </w:p>
    <w:p>
      <w:r>
        <w:t>- 37 -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Lorsqu'il s'agit de fixer la contribution à l'entretien d'un conjoint dont la situation financière a été concrètement et durablement influencée par le mariage, l'art. 125 CC prescrit de procéder en trois étapes (ATF 137 III 102 c.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 4.2.1.1; ATF 129 III 7 c. 3.1.1). Enfin, ce n'est que lorsque le divorce est prononcé après une longue séparation, à savoir une dizaine d'années, que la situation de l'époux bénéficiaire durant cette période est en principe déterminante (ATF 132 III 598 c. 9.3). Il convient ensuite de déterminer si et dans quelle mesure chacun des ex-époux est en mesure de financer son entretien convenable par ses propres ressources, priorité qui découle directement de la lettre de l'article 125 alinéa 1er CC. Ce n’est pas parce que l’un des époux bénéficie</w:t>
      </w:r>
    </w:p>
    <w:p>
      <w:r>
        <w:t>- 38 - d’une situation financière confortable que l’autre conjoint pourrait prétendre ne pas avoir à mettre en œuvre sa propre capacité de gain (TF 5A_448/2009 du 25 mai 2010 c. 3.2; TF 5P.114/2006 du 12 mars 2007 c. 7.3, in FamPra.ch 2007 p. 690; TF 5P.499/2006 du 6 mars 2007 c. 5, in FamPra.ch 2007 p. 687). Si l'une des parties ne le peut pas, respectivement si l'on ne peut raisonnablement exiger d'elle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l'article 125 CC. Si l’époux peut maintenir son train de vie par ses propres moyens, il n'y a pas lieu de lui allouer une contribution d'entretien, même si le mariage a eu un impact sur son mode de vie (ATF 137 III 102 c. 4.1.2; ATF 134 III 145 c. 4).</w:t>
      </w:r>
    </w:p>
    <w:p>
      <w:r>
        <w:rPr>
          <w:b/>
        </w:rPr>
        <w:t>E. 4.2</w:t>
      </w:r>
    </w:p>
    <w:p>
      <w:r>
        <w:t>En l’espèce, il est constant que le mariage, qui a duré 26 ans dont 15 ans de vie commune, et dont sont issus deux enfants, a eu une influence concrète sur la situation financière de l'appelante. C’est donc à juste titre que les premiers juges ont admis, dans son principe, le versement d’une contribution d’entretien en sa faveur. La séparation des parties ayant duré une dizaine d’années, l'entretien de l'appelante doit être examiné au regard de sa situation pendant cette période, ce qui n'est pas contesté (cf. appel p. 3).</w:t>
      </w:r>
    </w:p>
    <w:p>
      <w:r>
        <w:rPr>
          <w:b/>
        </w:rPr>
        <w:t>E. 4.2.1</w:t>
      </w:r>
    </w:p>
    <w:p>
      <w:r>
        <w:t>L'appelante fait valoir que l'aide de ménage, d'un montant de 630 fr. par mois, aurait été écarté arbitrairement de ses charges. Elle en veut pour preuve les documents produits sous lot de pièce 2 du bordereau du 22 mai 2014, à savoir une attestation du 9 mai 2014 aux termes de laquelle sa femme de ménage confirme effectuer quatre heures de ménage par semaine au prix de "25 fr. + frais de transport", ainsi que les bons pour une aide de ménage établie par le Dr [...], dont le dernier, daté du 25 octobre 2013, porte sur trois heures de ménage par semaine. A cet égard, les premiers juges ont considéré qu'il ne se justifiait pas de tenir</w:t>
      </w:r>
    </w:p>
    <w:p>
      <w:r>
        <w:t>- 39 - compte de l'aide de ménage, dans la mesure où il n'y avait aucune raison de penser que les frais correspondant ne seraient pas pris en charge par l'assurance-maladie complémentaire de l'appelante. On ne discerne en effet pas pour quelle autre raison – sinon celle de se voir rembourser les frais en question par son assurance – l'appelante aurait fait établir ces ordonnances par son médecin. Or l'appelante ne produit aucune pièce susceptible d'établir que ces frais ne seraient finalement pas pris en charge par son assurance complémentaire. De surcroît, les pièces auxquelles elle se réfère n’établissent pas le montant de 630 fr. dont elle se prévaut. Compte tenu de ces éléments, l'appréciation des premiers juges, selon laquelle il n'y a pas lieu de retenir ce montant de 630 fr. parmi les charges de l'appelante, doit être confirmée.</w:t>
      </w:r>
    </w:p>
    <w:p>
      <w:r>
        <w:rPr>
          <w:b/>
        </w:rPr>
        <w:t>E. 4.2.2</w:t>
      </w:r>
    </w:p>
    <w:p>
      <w:r>
        <w:t>L'appelante estime ensuite qu'elle aurait démontré assumer des frais médicaux non pris en charge à hauteur de 151 fr. 55 par mois, au moyen des pièces 5, 6, 7 et lots de pièces 8 et 9 du bordereau du 22 mai 2014. Les pièces 5, 6, 7 et 8 constituent diverses ordonnances établies entre 2011 et 2014 pour des médicaments et une quinzaine de tickets de caisse (notamment pour l’achat d’un produit particulier). La pièce 9 concerne quant à elle des séances de massage thérapeutiques, qui ont été prises en compte par les premiers juges à hauteur de 360 fr. par mois, dans la mesure où l'appelante avait démontré que son assurance ne les prenait pas en charge. En revanche, les pièces 5 à 8, qui concernent divers achats de médicaments – dont on ignore s'ils sont couverts ou non par l'une des assurances de l'appelante –, n’établissent pas non plus qu’il s’agirait de frais récurrents. En d’autres termes, ces documents ne suffisent de toute manière pas à établir que l'appelante encourrait ces dépenses de manière régulière, à hauteur de 151 fr. 55 par mois. Partant, il n'y a pas lieu d'ajouter ces frais aux charges de l'appelante.</w:t>
      </w:r>
    </w:p>
    <w:p>
      <w:r>
        <w:t>- 40 -</w:t>
      </w:r>
    </w:p>
    <w:p>
      <w:r>
        <w:rPr>
          <w:b/>
        </w:rPr>
        <w:t>E. 4.2.3</w:t>
      </w:r>
    </w:p>
    <w:p>
      <w:r>
        <w:t>L'appelante estime enfin que le leasing de son nouveau véhicule, d'un montant de 668 fr. 50, aurait dû être ajouté à ses frais de transport, dans la mesure où elle aurait démontré avoir besoin d’une voiture plus adaptée à son état de santé. Selon la jurisprudence, l'autorité établit les faits de manière inexacte lorsqu'elle n'examine pas si le coût d'un leasing du véhicule constitue une dépense justifiée selon les règles relatives au minimum vital du droit des poursuites (TF 5A_100/2012 du 30 août 2012 c. 5.2). Le Tribunal fédéral considère en outre qu'il convient de tenir compte de l'entier des redevances de leasing d'un véhicule qui a la qualité d'objet de stricte nécessité ("Kompetenzgut") d'un prix raisonnable (ATF 140 III 337 c. 5.2; TF 5A_27/2010 du 15 avril 2010 c. 3.2.2; Guillod, Entretien et charge fiscale en mesures protectrices de l’union conjugale : analyse de l’arrêt du Tribunal fédéral 5A_890/2014 du 22 mai 2014, p. 1). Dans l'arrêt 5A_27/2010, le Tribunal fédéral a considéré qu'il était possible que l'intéressé ait contracté un leasing trop onéreux compte tenu de sa situation (641 fr.), et qu'il faille lui imposer de résilier ce contrat et d'en conclure un meilleur marché pour l'achat d'un véhicule adapté à ses besoins, entraînant la prise en compte d'un montant de 400 fr. au lieu de 641 fr. (cf. c. 3.2.3 et 3.4). En l'espèce, il ressort des pièces que l'appelante a acquis, le 8 mai 2014, un véhicule de marque [...] au prix de 53'773 fr. 40, TVA comprise. Pour financer cet achat, l'appelante a contracté un leasing dont le premier loyer était de 5'400 fr. et les loyers suivants de 668 fr. 50 (pièce 10). Les premiers juges ont écarté ce dernier montant, retenant en revanche un montant de 672 fr. correspondant aux frais kilométriques mensualisés de l'appelante pour se rendre tous les jours de son domicile à son lieu de travail, ainsi que la somme de 65 fr. pour la location d'une place de parc sur son lieu de travail. Contrairement à ce que soutient l'appelante, aucune pièce ne démontre que l'achat d'un nouveau véhicule de ce standing aurait été rendu nécessaire par son état de santé. La qualité d'objet de stricte nécessité de ce véhicule n'est dès lors pas établie, d'autant que les parties étaient séparées depuis près de dix ans</w:t>
      </w:r>
    </w:p>
    <w:p>
      <w:r>
        <w:t>- 41 - lorsque l'appelante en a fait l'acquisition. Partant, le montant de 668 fr. 50 n'a pas à être prise en compte dans ses charges. Devrait-on admettre un montant équitable à titre de leasing (cf. 5A_27/2010 qui fait référence à un montant de 400 fr. au lieu de 641 fr.), cela ne conduirait de toute façon pas à modifier le montant de la pension fixée par les premiers juges, puisque que celle-ci a été arrêtée, en équité, à 2'000 fr. par mois, alors que le manco de l'appelante est de 1'373 fr. 40 (4'444 fr. 80 – 5'818 fr. 20). Compte tenu du revenu mensuel net (non contesté) de l’appelante de 4'445 fr. (arrondi), la contribution d’entretien post-divorce fixée à 2'000 fr. par les premiers juges peut dès lors être confirmée.</w:t>
      </w:r>
    </w:p>
    <w:p>
      <w:r>
        <w:rPr>
          <w:b/>
        </w:rPr>
        <w:t>E. 5</w:t>
      </w:r>
    </w:p>
    <w:p>
      <w:r>
        <w:t>L’appelante estime enfin que la pension aurait dû lui être versée sous forme de capital au sens de l’art. 126 al. 2 CC, au motif que l’intimé aurait déclaré aux enfants vouloir quitter la Suisse après le divorce et s’installer à l’étranger pour sa retraite.</w:t>
      </w:r>
    </w:p>
    <w:p>
      <w:r>
        <w:rPr>
          <w:b/>
        </w:rPr>
        <w:t>E. 5.1</w:t>
      </w:r>
    </w:p>
    <w:p>
      <w:r>
        <w:t>D’après l’art. 126 al. 1 CC,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(art. 4 CC; TF 5A_310/2010 du 19 novembre 2010 c. 11.1.3). Selon le Message du Conseil fédéral, des circonstances particulières existent par exemple lorsque le débiteur de l’entretien désire partir à l’étranger après le divorce ou dispose d’un capital suffisant (FF 1996 I 120). La jurisprudence a eu l’occasion de préciser que des tensions entre les parties, telles qu’elles sont usuelles dans le cadre d’un divorce, ne constituent pas une circonstance particulière au sens de l’art. 126 al. 2 CC (TF 5A_310/2010 du 19 novembre 2010 c. 11.6).</w:t>
      </w:r>
    </w:p>
    <w:p>
      <w:r>
        <w:t>- 42 -</w:t>
      </w:r>
    </w:p>
    <w:p>
      <w:r>
        <w:rPr>
          <w:b/>
        </w:rPr>
        <w:t>E. 5.2</w:t>
      </w:r>
    </w:p>
    <w:p>
      <w:r>
        <w:t>En l’occurrence, force est de constater, comme les premiers juges, que les conditions de l’art. 126 al. 2 CC ne sont pas réalisées, puisque le risque de départ de l’intimé à l’étranger n’est pas établi. En effet, les propos indirects qui auraient été rapportés à ce sujet par les enfants ne suffisent pas à corroborer les craintes de l’appelante à cet égard. Celle-ci n’apporte pour le surplus aucun élément susceptible de démontrer que l’intimé aurait réellement l’intention de s’établir à l’étranger.</w:t>
      </w:r>
    </w:p>
    <w:p>
      <w:r>
        <w:rPr>
          <w:b/>
        </w:rPr>
        <w:t>E. 6</w:t>
      </w:r>
    </w:p>
    <w:p>
      <w:r>
        <w:t>Il résulte de ce qui précède que l’appel, manifestement infondé, doit être rejeté en application de l’art. 312 al. 1 CPC et le jugement entrepris confirmé. Les frais judiciaires de deuxième instance, arrêtés à 3'000 fr. (art. 63 al. 3 TFJC [Tarif des frais judiciaires civils du 28 septembre 2010, RSV 270.11.5], sont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