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TU05.004556 vom 7. April 2011</w:t>
      </w:r>
    </w:p>
    <w:p>
      <w:r>
        <w:t>VD Tribunal cantonal, 2011-04-07, FR</w:t>
      </w:r>
    </w:p>
    <w:p>
      <w:r>
        <w:rPr>
          <w:b/>
        </w:rPr>
        <w:t xml:space="preserve">Quelle: </w:t>
      </w:r>
      <w:r>
        <w:t>https://mcp.opencaselaw.ch/entscheid/vd_gerichte_TU05.004556</w:t>
      </w:r>
    </w:p>
    <w:p>
      <w:r>
        <w:t>FR: VD_GERICHTE TU05.004556 du 7 avril 2011</w:t>
      </w:r>
    </w:p>
    <w:p>
      <w:r>
        <w:t>IT: VD_GERICHTE TU05.004556 del 7 aprile 2011</w:t>
      </w:r>
    </w:p>
    <w:p>
      <w:pPr>
        <w:pStyle w:val="Heading2"/>
      </w:pPr>
      <w:r>
        <w:t>Erwägungen</w:t>
      </w:r>
    </w:p>
    <w:p>
      <w:r>
        <w:rPr>
          <w:b/>
        </w:rPr>
        <w:t>E. 2</w:t>
      </w:r>
    </w:p>
    <w:p>
      <w:r>
        <w:t>a) Le défendeur, désormais sans activité lucrative, bénéficie d'une rente de l'assurance-invalidité d'un montant mensuel de fr. 2'413.-. b) Durant sa vie active, le défendeur a exploité le café-restaurant " [...]" à [...] de 1982 à 1998. A cette date, il a cessé l'exploitation de son café-restaurant " [...]" et a repris, pour un montant de fr. 50'000.-, le café- bar " [...]" à [...], qu'il a rebaptisé " [...] ". En 2006, le défendeur a cessé d'exploiter personnellement le café-restaurant " [...]", qu'il a mis en sous- location auprès d'un tiers, ainsi que trois places de parc, pour un montant</w:t>
      </w:r>
    </w:p>
    <w:p>
      <w:r>
        <w:t>- 3 - mensuel global de fr. 5'000.- par mois. Versant quant à lui un loyer total de fr. 2'987.60, il retire en définitive un revenu mensuel de fr. 2'012.40 de la sous-location de son établissement. Compte tenu de sa rente de l'assurance-invalidité et du produit de la sous-location de son établissement, le défendeur réalise un montant mensuel net total de fr. 4'425.40. Les charges mensuelles du défendeur se composent d'un loyer de fr. 1'185.-, d'une prime d'assurance maladie de fr. 24.20, et d'une prime d'assurance complémentaire de fr. 43.82.</w:t>
      </w:r>
    </w:p>
    <w:p>
      <w:r>
        <w:rPr>
          <w:b/>
        </w:rPr>
        <w:t>E. 3</w:t>
      </w:r>
    </w:p>
    <w:p>
      <w:r>
        <w:t>a) Pendant la vie commune des parties, la demanderesse a participé à l'exploitation du café-restaurant de son époux jusqu'en 2004. Entre 1998 et 2004, sa collaboration à l'exploitation du café-restaurant correspondait à un travail à temps complet. Durant cette période, le défendeur était en effet régulièrement sous l'emprise de l'alcool et ne pouvait, de ce fait, assumer seul l'exploitation du café-restaurant. Cette situation a ainsi conduit la demanderesse à s'investir à temps complet dans l'activité du café-restaurant de son époux, assurant quotidiennement le service de la clientèle, ainsi que le paiement des factures. L'aide qu'elle a procuré à son époux dans l'exploitation de son café-restaurant n'était soumise à aucun contrat de travail et ne lui procurait aucun salaire. La demanderesse bénéficiait en revanche d'un train de vie correct avec son époux, voire confortable, eu égard notamment aux voyages au Maroc que les époux ont réalisés. b) Pendant la vie commune, l'enfant du défendeur, C.J.________, a vécu avec les parties jusqu'à l'âge de 17 ans. La demanderesse a été amenée à s'occuper de C.J.________, à tout le moins durant les premières années du mariage. Assumant les tâches ménagères du foyer, la demanderesse ne faisait cependant pas les repas dans la mesure où la famille mangeait au café-restaurant. Le frère et la sœur de la demanderesse ont quant à eux séjourné pendant une certaine période chez les parties. c) La demanderesse a acquis au Maroc une formation de vendeuse en pharmacie. Selon un certificat médical établi le 19 février 2008, la demanderesse a souffert en 2008 d'une affection rhumatismale chronique, qui l'empêchait de porter des charges lourdes et d'effectuer des travaux pénibles. Aucun certificat médical plus récent n'a cependant été produit par la demanderesse, de sorte qu'il n'est pas établi que la demanderesse présenterait aujourd'hui encore des problèmes de santé. Depuis la séparation des époux, la demanderesse a effectué de nombreuses démarches en vue de trouver un emploi. Celle-ci a répondu régulièrement à des offres d'emploi et s'est présentée spontanément pour des activités diverses et contraignantes en tant que serveuse, nettoyeuse, dame de compagnie, femme de chambre ou caissière, sans parvenir toutefois à se réinsérer professionnellement de manière significative. Depuis le 1er décembre 2008, la demanderesse effectue des travaux de ménage et d'entretien dans l'atelier d'architecture [...], à raison de 10 heures par mois, pour un salaire mensuel net de fr. 233.71. Elle perçoit</w:t>
      </w:r>
    </w:p>
    <w:p>
      <w:r>
        <w:t>- 4 - un montant de fr. 60.- par mois de l'aide sociale, ainsi qu'une pension provisionnelle de fr. 1'400.- par mois de la part de son époux depuis le 1er novembre 2006. Les charges de la demanderesse comprennent un loyer mensuel de fr. 725.- et un abonnement aux transports publics lausannois de fr. 60.-. Elle bénéficie d'un subside complet pour le paiement de ses primes d'assurance maladie.</w:t>
      </w:r>
    </w:p>
    <w:p>
      <w:r>
        <w:rPr>
          <w:b/>
        </w:rPr>
        <w:t>E. 4</w:t>
      </w:r>
    </w:p>
    <w:p>
      <w:r>
        <w:t>a) Le recourant soutient qu'il convenait de retrancher la conclusions de l'intimée prise à l'audience de jugement tendant à l'allocation d'une indemnité équitable selon l'art. 165 al. 1 CC. Selon l'art. 266 al. 1 CPC-VD, applicable en procédure accélérée par renvoi de l'art. 336a al. 1 CPC-VD, jusqu'à la clôture de l'instruction, les conclusions peuvent être réduites ou modifiées, pourvu que les conclusions nouvelles demeurent en connexité avec la demande initiale. La jurisprudence, après avoir relevé que les conclusions modifiées se distinguent des conclusions nouvelles en ce sens que les premières remplacent les conclusions initiales, modifiant ou aggravant l'objet du procès sans l'étendre, alors que les conclusions nouvelles s'ajoutent aux conclusions initiales et élargissent l'objet du procès, a considéré que les art. 266 ss CPC-VD ne régissaient pas exhaustivement la formulation et l'introduction des conclusions et qu'il convenait d'admettre la possibilité d'introduire des conclusions nouvelles, avec ou sans réforme, pour autant qu'elles soient connexes avec celles déjà en cause et que, lorsque la voie de la réforme n'est pas utilisée, l'introduction des conclusions nouvelles n'intervienne pas à un stade du procès où la partie adverse ne pourrait plus alléguer de faits nouveaux sans devoir elle-même se réformer (JT 2007 III 127 c. 3b-c et références). Dans le cadre de la procédure accélérée, le principe de la libre allégation (art. 4 al. 1 CPC-VD) a été abandonné, de sorte que l'instruction peut porter sur des faits qui n'ont pas été allégués et qu'il est possible de retenir des faits prouvés qui n'ont pas été allégués (Muller, Le rôle respectif du juge et des parties dans l'établissement des faits selon la nouvelle procédure accélérée vaudoise, JT 2002 III 110, spéc. pp. 112- 113). Muller préconise de permettre l'extension, sans réforme, de l'instruction au faits pertinents mais non allégués évoqués par les parties lors de l'audience préliminaire à la condition que ces faits se trouvent à</w:t>
      </w:r>
    </w:p>
    <w:p>
      <w:r>
        <w:t>- 13 - l'intérieur du cadre des débats (ou du litige) formé des allégués, moyens et conclusions des parties et la réforme n'être exigée que lorsque dite extension compromettrait le droit d'une partie de préparer sa défense, un tel empêchement ne devant pas être admis trop aisément (Muller, op. cit., p. 128; CREC I 7 avril 2010/171 c. 3). En l'espèce, l'intimée a allégué dans sa demande sous n° 7 qu'elle s'était impliquée activement dans l'exploitation de l'établissement du recourant, que cette implication correspondait à un plein temps dès 1998 (allégué n° 42) et, sous n° 57, qu'elle avait droit à une indemnité non inférieure à 80'000 fr. à raison des prestations qu'elle avait fournies dans l'exploitation de l'établissement, ce dernier allégué devant être prouvé par expertise. Certes, l'intimée n'a pas pris en relation avec sa prétention fondée sur l'art. 165 al. 1 CC une conclusion séparée de celle en liquidation du régime matrimonial à préciser en cours d'instance, alors que cette prétention est une créance ordinaire de droit matrimonial, exigible en tout temps au plus tard au moment du divorce (Pichonnaz, Commentaire romand, 2010, n. 58 ad art. 165 CC, p. 1185), partant distincte de celle découlant de la liquidation du régime matrimonial. Toutefois, le recourant s'est déterminé sur les allégués susmentionnés en présentant l'aveu indivisible selon lequel l'intimée donnait un coup de main dans l'exploitation de l'établissement pour les allégués nos 7 et 42 et en contestant l'allégué n° 57. Il n'a en outre émis aucune remarque en relation avec l'ordonnance sur preuves du 9 février 2006 qui mentionnait que l'expert devait formuler des propositions relatives à une éventuelle indemnité équitable en faveur de l'intimée en raison de l'activité de celle- ci dans l'établissement du recourant. L'expert a fait porter son examen sur la question de l'indemnité selon l'art. 165 al. 1 CC et traité de cette question aux pages 5 et 6 de son rapport. Il y a donc lieu d'admettre que le recourant a pu participer à l'instruction de cette question et qu'en ne s'opposant pas à ces actes d'instruction, il a implicitement admis que la question de l'indemnité selon l'art. 165 al. 1 CC entrait dans le "cadre des débats" au sens de la doctrine susmentionnée.</w:t>
      </w:r>
    </w:p>
    <w:p>
      <w:r>
        <w:t>- 14 - Dans ces circonstances particulières, le dépôt à l'audience de jugement de la conclusion en paiement d'une indemnité selon l'art. 165 al. 1 CC - qui doit être qualifiée de nouvelle, car distincte par sa nature d'une créance en liquidation du régime matrimonial – n'entraînait pas pour le recourant une obligation de se réformer afin de pouvoir faire valoir ses moyens de défense. En effet, cette question avait déjà été instruite dans le cadre de l'expertise et la prétention de l'intimée ainsi que son fondement avaient été allégués de sorte que les possibilités de défense du recourant n'ont pas été compromises. Au vu de la jurisprudence susmentionnée, cette conclusion nouvelle était en conséquence recevable, le recourant ne contestant pas qu'elle était connexe aux conclusions initiales de l'intimée. Le recours doit être rejeté sur ce point. b) Le recourant soutient que l'indemnité allouée par les premiers juges n'est pas due. Il fait valoir que l'intimée n'a pas contribué à son commerce dans une mesure notablement supérieure à ce qu'exigeait sa contribution à l'entretien de la famille, que cette contribution n'a pas amené une amélioration significative de la situation de l'entreprise, celle-ci n'étant pas en mesure d'engager une serveuse, que sa situation financière ne lui permet pas de verser dite indemnité et qu'il a droit à la moitié de cette indemnité à titre d'acquêt. En vertu de leur devoir général d'assistance (art. 159 al. 3 CC), mari et femme contribuent selon leurs facultés à l'entretien de la famille (art. 163 al. 1 CC). Selon leur accord, cette contribution peut consister dans l'aide qu'un époux prête à son conjoint dans sa profession ou son entreprise (art. 163 al. 2 CC). Exercée dans ce cadre, l'aide apportée à l'un des époux ne donne droit à aucune rémunération sous réserve du droit éventuel à un montant libre à disposition au sens de l'art. 164 CC (ATF 120 II 280 c. 6a et références). L'art. 165 al. 1 CC prévoit cependant que lorsqu'un époux a collaboré à la profession ou à l'entreprise de son conjoint dans une mesure notablement supérieure à ce qu'exige sa contribution à l'entretien de la famille, il a droit à une indemnité équitable.</w:t>
      </w:r>
    </w:p>
    <w:p>
      <w:r>
        <w:t>- 15 - La jurisprudence a précisé qu'à défaut d'accord entre les époux sur la répartition de leurs tâches,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Il importe d'évaluer, dans chaque cas, la nature et l'ampleur de la collaboration professionnelle, en la mettant en rapport avec les autres prestations fournies comme contribution ordinaire aux charges du mariage. A cet égard, l'art. 165 CC pose de manière générale des conditions moins rigoureuses que l'art. 320 al. 2 CO. En l'absence de critères généraux applicables dans ce domaine, le juge statue en équité (art. 4 CC) en se fondant sur les particularités importantes de l'espèce (ATF 120 II 280 précité; TF 5C.290/2006 du 9 mars 2007 c. 2.1, publié in La Pratique du droit de la famille [FamPra.ch] 2007, p. 633). Sont de telles particularités, notamment le régime matrimonial, partant la possibilité ou non pour le conjoint contributeur de participer au bénéfice dû à son travail dans le cadre de la liquidation dudit régime, la mesure dans laquelle ledit conjoint a bénéficié de l'amélioration du niveau de vie, et les moyens du débiteur de la contribution (ATF 120 II 280 c. 6c). La doctrine considère que le montant de l’indemnité ne doit pas conduire à un endettement du débiteur et que la fortune de celui-ci constitue en règle générale la limite supérieure de la prétention fondée sur l’art. 165 al. 1 CC, sous réserve que les fruits du travail consacré à l’entreprise ne puissent être recueillis que dans le futur (Pichonnaz, op. cit. n. 25 ad art. 165 CC, p. 1180; Hausheer/Reusser/Geiser, Berner Kommentar, 1999, n. 27 ad art. 165 CC, p. 257 in fine; cf. également Isenring/Kessler, Basler Kommentar, 4ème éd. 2010, n. 12 ad art. 165 CC, p. 987). La cour de céans a considéré que dans la mesure où sur une longue durée, l’activité déployée par l'époux contributeur n’avait pas permis de constituer une fortune ou d'apporter une amélioration durable de la situation économique de l'époux débiteur, mais avait uniquement permis de maintenir un revenu se situant dans la moyenne inférieure de la branche et servi à financer ainsi qu'à améliorer le train de vie des parties,</w:t>
      </w:r>
    </w:p>
    <w:p>
      <w:r>
        <w:t>- 16 - on ne pouvait retenir que la contribution avait été notablement supérieure à la contribution normale à l’entretien de la famille et que l'absence de rémunération était inéquitable (CREC II 9 février 2010/33 c. 3c/aa) En l'espèce, le recourant ne dispose d'aucune fortune et de revenus de 4'425 fr. 40 nets par mois. La valeur de son commerce a été estimée par l'expert sur la base des loyers payés et encaissés du 31 octobre 2008 au 30 septembre 2011 à 85'484 francs. Cette appréciation ne peut être considérée comme déterminante dans l'examen des conditions de l'art. 165 al. 1 CC. En effet, le recourant sous-loue l'établissement en cause et l'on voit mal comment il pourrait réaliser ce capital, ce d'autant que les loyers encaissés servent à couvrir son entretien. Au vu de ces éléments, il apparaît en outre que la contribution de l'intimée à l'entreprise du recourant n'a pas permis à celui-ci de constituer une fortune ou d'apporter une amélioration durable de sa situation économique, mais a servi uniquement à soutenir la faible viabilité du commerce, unique source de revenu des époux, et à améliorer leur train de vie. Dans ces circonstances, il y a lieu d'admettre que le recourant n'est pas en mesure de verser une contribution selon l'art. 165 al. 1 CC et de dénier à la contribution de l'intimée le caractère notablement supérieure à celui normal de l'entretien de la famille, partant la nécessité du point de vue de l'équité de lui verser une indemnité pour cette contribution. Le recours doit en conséquence être admis sur ce point.</w:t>
      </w:r>
    </w:p>
    <w:p>
      <w:r>
        <w:rPr>
          <w:b/>
        </w:rPr>
        <w:t>E. 5</w:t>
      </w:r>
    </w:p>
    <w:p>
      <w:r>
        <w:t>a) Le recourant soutient qu'il ne doit aucune contribution d'entretien à l'intimée. Il fait valoir que le niveau de vie déterminant est celui mené durant la séparation, vu la longueur de celle-ci, que le prononcé de mesures protectrices de l'union conjugale du 7 octobre 2003 et l'ordonnance de mesures provisionnelles du 19 avril 2005 avaient dénié à l'intimée tout droit à une contribution d'entretien, l'exhortant à trouver</w:t>
      </w:r>
    </w:p>
    <w:p>
      <w:r>
        <w:t>- 17 - un emploi et que l'intimée est en mesure de reprendre une activité lucrative. Subsidiairement, il soutient que la contribution litigieuse entame par trop son disponible.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ATF 129 III 7; FamPra.ch 2003, p. 169; ATF 127 III 136 c. 2a pp. 138/139,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w:t>
      </w:r>
    </w:p>
    <w:p>
      <w:r>
        <w:t>- 18 - l'assurance-vieillesse et survivants et de la prévoyance professionnelle ou d'autres formes de prévoyance privée ou publique, y compris le résultat prévisible du partage des prestations de sortie (ch. 8). Selon la jurisprudence, une contribution d'entretien en faveur de l'ex-conjoint est due si le mariage a concrètement influencé la situation financière de l'époux crédirentier ("lebensprägend") et que celui-ci n'est pas en mesure de subvenir à son entretien (ATF 137 III 102 c. 4.1.2;ATF 134 III 145 c. 4;). Si le mariage a au moins duré dix ans – période à calculer jusqu'à la date de la séparation des parties (ATF 132 III 598 c. 9.2; ATF 127 III 136 c. 2c) -, il a eu, en règle générale, une influence concrète (ATF 135 III 59 c. 4.1; TF 5C.49/2005 du 23 juin 2005 c. 2 FamPra.ch 2005 p. 919). Inversement, il y a une présomption de fait de l'absence d'impact décisif du mariage sur la vie des époux lorsque celui-ci a duré moins de cinq ans (ATF 135 III 59 c. 4.1 et références).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1er octobre 2007 c. 4), ou en présence d'un déracinement culturel (TF 5A_275/2009 du 25 novembre 2009 c. 2.1; TF 5C.38/2007 du 28 juin 2007, c. 2.8 in FamPra.ch 2007 p. 930). En l'espèce, au moment de la séparation des parties au mois d'octobre 2003, leur mariage avait duré plus de dix ans, de sorte qu'il y a lieu d'admettre, faute d'élément susceptible de renverser la présomption jurisprudentielle, qu'il a concrètement influencé la situation financière de l'intimée et que celle-ci a droit sur le principe à une contribution d'entretien. c) Selon la jurisprudence, pour déterminer la quotité de la contribution d'entretien après divorce, il convient d'établir les conditions</w:t>
      </w:r>
    </w:p>
    <w:p>
      <w:r>
        <w:t>- 19 -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Lorsque le divorce est prononcé après une longue séparation, à savoir une dizaine d'année, la situation de l'époux bénéficiaire est déterminante.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137 III 102 c. 4.2; ATF 134 III 145 c. 4 et références, JT 2009 I 153). Selon la jurisprudence, un conjoint – y compris le créancier de l'entretien,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 4.2.2.2 et références). Selon la jurisprudence, en cas de mariage de longue durée, on présume qu'il n'est pas possible d'exiger d'un conjoint qui a renoncé à exercer une activité lucrative pendant le mariage et qui a atteint l'âge de quarante-cinq ans au moment de la séparation de reprendre un travail, cette limite d'âge ne devant pas être considérée comme une règle stricte, et cette présomption pouvant être renversée, en fonction d'autres éléments qui plaideraient en faveur de la prise ou de l'augmentation d'une</w:t>
      </w:r>
    </w:p>
    <w:p>
      <w:r>
        <w:t>- 20 - activité lucrative, dite limite tendant à être augmentée à cinquante ans (ATF 137 III 102 c. 4.2.2.2 et références). En l'espèce, l'intimée était âgée de quarante-neuf ans au moment de la séparation des parties et n'avait pas exercé d'activité lucrative durant le mariage. Elle a en outre effectué de nombreuses démarches en vue de trouver un emploi, répondant régulièrement à des offres et se présentant spontanément pour des activité de serveuse, de nettoyeuse, dame de compagnie, femme de chambre ou caissière, sans pouvoir se réinsérer professionnellement de manière significative. Au vu de ces éléments, on ne saurait lui imputer un revenu hypothétique et il y a lieu de considérer qu'elle n'est pas en mesure d'assurer son entretien convenable. L'intimée réalise un revenu mensuel net de 233 fr. 71. Son minimum vital, qui s'élève à 1'985 fr. (1'200 fr. de montant de base, 725 fr. de loyer et 60 fr. d'abonnement aux transports publics), n'est pas couvert à raison de 1'751 fr. 29. Le recourant réalise un revenu de 4'425 fr. net, pour un minimum vital de 2'693 fr. 02, compte tenu d'une majoration de 20 % du montant de base. Son disponible est donc de 1'731 fr. 98 et lui permet de verser la contribution mise à sa charge par les premiers juges. A cet égard, le recourant fait valoir en vain que son solde disponible ne saurait être entamé dans une mesure supérieure à 50 %. En effet, si l'on applique la méthode du minimum vital avec répartition de l'excédent, dans laquelle ledit excédent est en principe partagé par moitié, les revenus globaux du couple s'élèvent à 4'658 fr. 71, et l'addition des minima vitaux donne un montant de 4'678 fr., soit un montant supérieur de 20 francs. Il n'y a donc pas d'excédent à répartir par moitié entre les parties et le recourant est tenu de couvrir par son disponible la partie du minimum vital de l'intimée non couverte par les revenus de celle-ci. Le recours doit être rejeté sur ce point.</w:t>
      </w:r>
    </w:p>
    <w:p>
      <w:r>
        <w:t>- 21 -</w:t>
      </w:r>
    </w:p>
    <w:p>
      <w:r>
        <w:rPr>
          <w:b/>
        </w:rPr>
        <w:t>E. 6</w:t>
      </w:r>
    </w:p>
    <w:p>
      <w:r>
        <w:t>Le recourant obtenant gain de cause sur la question de l'indemnité selon l'art. 165 al. 1 CC et l'intimée sur celle de la contribution d'entretien, il y a lieu de compenser les dépens de première instance (art. 92 al. 2 CPC-VD).</w:t>
      </w:r>
    </w:p>
    <w:p>
      <w:r>
        <w:rPr>
          <w:b/>
        </w:rPr>
        <w:t>E. 7</w:t>
      </w:r>
    </w:p>
    <w:p>
      <w:r>
        <w:t>En conclusion, le recours doit être admise partiellement et le jugement réformé en ce sens que le défendeur ne doit pas à la demanderesse une indemnité selon l'art. 165 al. 1 CC et que les dépens de première instance sont compensés. Les frais de deuxième instance du recourant sont arrêtés à 800 fr. (art. 233 al. 2 aTFJC [tarif du 4 décembre 1984 des frais judiciaires en matière civile]). Aucune des parties n'obtenant entièrement gain de cause, il y a lieu de compenser les dépens de deuxième instance (art. 92 al. 2 CPC- VD). Par ces motifs, la Chambre des recours du Tribunal cantonal, statuant à huis clos, prononce : I. Le recours est partiellement admis. II. Le jugement est réformé comme il suit aux chiffres II et VII de son dispositif : II. supprimé VII. Les dépens sont compensés.</w:t>
      </w:r>
    </w:p>
    <w:p>
      <w:r>
        <w:t>- 22 - III. Les frais de deuxième instance du recourant sont arrêtés à 800 fr. (huit cents francs). IV. Les dépens de deuxième instance sont compensés. V. L'arrêt motivé est exécutoire. Le président : Le greffier : Du 7 avril 2011 Le dispositif de l'arrêt qui précède est communiqué par écrit aux intéressés. Le greffier : Du L'arrêt qui précède, dont la rédaction a été approuvée à huis clos, est notifié en expédition complète, par l'envoi de photocopies, à : - Me Robert Lei Ravello (pour A.J.________), - Me Leila Roussianos (pour B.J.________). La Chambre des recours considère que la valeur litigieuse est supérieure à 30'000 francs. Le présent arrêt peut faire l'objet d'un recours en matière civile devant le Tribunal fédéral au sens des art. 72 ss LTF (loi du 17 juin</w:t>
      </w:r>
    </w:p>
    <w:p>
      <w:r>
        <w:t>- 23 - 2005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