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TU00.006349 vom 16. April 2012</w:t>
      </w:r>
    </w:p>
    <w:p>
      <w:r>
        <w:t>VD Tribunal cantonal, 2012-04-16, FR</w:t>
      </w:r>
    </w:p>
    <w:p>
      <w:r>
        <w:rPr>
          <w:b/>
        </w:rPr>
        <w:t xml:space="preserve">Quelle: </w:t>
      </w:r>
      <w:r>
        <w:t>https://mcp.opencaselaw.ch/entscheid/vd_gerichte_TU00.006349</w:t>
      </w:r>
    </w:p>
    <w:p>
      <w:r>
        <w:t>FR: VD_GERICHTE TU00.006349 du 16 avril 2012</w:t>
      </w:r>
    </w:p>
    <w:p>
      <w:r>
        <w:t>IT: VD_GERICHTE TU00.006349 del 16 aprile 2012</w:t>
      </w:r>
    </w:p>
    <w:p>
      <w:pPr>
        <w:pStyle w:val="Heading2"/>
      </w:pPr>
      <w:r>
        <w:t>Erwägungen</w:t>
      </w:r>
    </w:p>
    <w:p>
      <w:r>
        <w:rPr>
          <w:b/>
        </w:rPr>
        <w:t>E. 1</w:t>
      </w:r>
    </w:p>
    <w:p>
      <w:r>
        <w:t>Le 8 mai 2000, V.________ a déposé une demande unilatérale en divorce.</w:t>
      </w:r>
    </w:p>
    <w:p>
      <w:r>
        <w:rPr>
          <w:b/>
        </w:rPr>
        <w:t>E. 2</w:t>
      </w:r>
    </w:p>
    <w:p>
      <w:r>
        <w:t>Par décision du 30 novembre 2001, le Secrétariat de l'assistance judiciaire a accordé l'assistance judiciaire dès le 6 novembre 2001 à T.________, dans le procès en divorce l'opposant à V.________. Le 3 août 2009, la Présidente du Tribunal cantonal a nommé J.________ en tant qu'avocat d'office.</w:t>
      </w:r>
    </w:p>
    <w:p>
      <w:r>
        <w:rPr>
          <w:b/>
        </w:rPr>
        <w:t>E. 3</w:t>
      </w:r>
    </w:p>
    <w:p>
      <w:r>
        <w:t>Dans le cadre de la procédure de divorce, le Président du Tribunal civil de l'arrondissement de Lausanne a rendu une ordonnance de mesures provisionnelles le 19 mars 2009. Le 31 mars 2009, T.________ a interjeté appel contre cette décision. L'audience d'appel sur mesures provisionnelles ainsi qu'une audience de nouvelles mesures provisionnelles ont eu lieu le 8 septembre 2009. A cette occasion, une convention sur le droit de visite de T.________ a été signée par les parties. Un prononcé sur les frais et dépens a été rendu le 28 septembre 2009 par le Président du Tribunal civil de l'arrondissement de Lausanne. Le 20 novembre 2009, une ordonnance de mesures préprovisionnelles a été rendue par le Président du Tribunal civil de l'arrondissement de Lausanne. Une nouvelle audience préliminaire s'est déroulée le 22 avril 2010. Le Président du Tribunal civil de l'arrondissement de Lausanne a encore rendu une nouvelle ordonnance de mesures préprovisionnelles le 21 mai 2010. Lors de l'audience de mesures provisionnelles du 13 juillet 2010, les parties ont signé une nouvelle convention pour déterminer les modalités d'exercice du droit de visite de T.________.</w:t>
      </w:r>
    </w:p>
    <w:p>
      <w:r>
        <w:t>- 4 - De nouvelles ordonnances de mesures provisionnelles ont été rendues par le Président du Tribunal civil de l'arrondissement de Lausanne les 24 août, 13 octobre et 14 décembre 2010. Une audience de jugement et de mesures provisionnelles a eu lieu le 22 février 2011. Les parties ont retiré leurs conclusions provisionnelles et ont déposé une requête commune en divorce. La conciliation ayant abouti, V.________ et T.________ ont signé une convention pour régler les effets accessoires de leur divorce. Par jugement du 30 septembre 2011, le Président du Tribunal civil de l'arrondissement de Lausanne a notamment prononcé le divorce des parties.</w:t>
      </w:r>
    </w:p>
    <w:p>
      <w:r>
        <w:rPr>
          <w:b/>
        </w:rPr>
        <w:t>E. 4</w:t>
      </w:r>
    </w:p>
    <w:p>
      <w:r>
        <w:t>a) Le recourant reproche au premier juge d'avoir fait preuve d'arbitraire en décidant de réduire le montant de l'indemnité de conseil d'office, en ne prenant pas en compte les critères jurisprudentiels développés au sujet de la fixation de l'indemnité due au conseil d'office et "en occultant l'importance des démarches déployées hors tribunal aux fins de concilier les parties". b) Selon l'art. 2 al. 1 RAJ (Règlement du 7 décembre 2010 sur l'assistance judiciaire en matière civile; RSV 211.02.3), le conseil d'office a</w:t>
      </w:r>
    </w:p>
    <w:p>
      <w:r>
        <w:t>- 7 -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c. 3a; TF 6B_745/2009 du 12 novembre 2009 c. 10.1; TF 6B_273/2009 du 2 juillet 2009 c. 2.1; TF 6B_102/2009 du 14 avril 2009 c. 2; TF 6B_960/2008 du 22 janvier 2009 c. 1.1; TF 6B_947/2008 du 16 janvier 2009 c. 2).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w:t>
      </w:r>
    </w:p>
    <w:p>
      <w:r>
        <w:t>- 8 -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c) Le premier juge a considéré que le temps annoncé par l'avocat d'office pour l'accomplissement de son mandat apparaissait excessif, selon une appréciation globale du litige. Après examen du dossier, il a estimé à huitante heures le temps consacré nécessaire à la cause, précisant que le temps consacré aux quatre audiences, pour la préparation, les déplacements et l'assistance de T.________, représentait cinq heures et quarante-cinq minutes. d) Le recourant ne démontre pas le caractère manifestement erroné des constatations du premier juge s'agissant du temps consacré pour les quatre audiences, soit cinq heures et quarante-cinq minutes. En y ajoutant la durée des quatre conférences du conseil d'office avec son client et les six conférences téléphoniques, qui peut être estimée à sept heures, le total d'heures consacrées à ces opérations est de douze heures et quarante-cinq minutes. Il y a ainsi lieu de constater une disproportion manifeste entre le temps consacré aux opérations de la procédure stricto sensu et le temps total annoncé de plus de cent seize heures d'activités diverses. Le premier juge n'a en outre pas ignoré le caractère très conflictuel du litige, estimant à huitante heures le temps nécessaire à l'accomplissement normal du mandat. Lorsque le recourant affirme que le litige n'était pas seulement très conflictuel, mais "extrêmement conflictuel", il ne fait que jouer sur les mots. Il en découle que le premier juge a procédé conformément à la jurisprudence rappelée ci-dessus (supra ch. 4 let. b). Ainsi, même en prenant en considération un temps important nécessaire aux opérations ayant permis de trouver une issue transactionnelle au litige, il reste, selon l'estimation du premier juge, de nombreuses heures qui sont en définitive correctement rémunérées selon</w:t>
      </w:r>
    </w:p>
    <w:p>
      <w:r>
        <w:t>- 9 - la décision attaquée. C'est donc à tort que le recourant affirme que le premier juge aurait complètement ignoré cette partie-là de son activité. En outre, lorsqu'il soutient que la recherche d'une solution transactionnelle a nécessité une longue et patiente communication tant avec la partie adverse qu'avec la curatrice et les différentes autorités, le recourant s'écarte des faits retenus en première instance. Il lui appartenait en effet d'exposer, dans le cadre de la production de son relevé d'opérations, les particularités de la cause ayant nécessité un temps supplémentaire. Or, il s'est limité à produire un relevé indiquant la durée totale des opérations, sans distinction selon les activités accomplies. Le premier juge était ainsi d'autant plus fondé à procéder à une appréciation globale du temps consacré. Au surplus, il appartient à la cour de céans de vérifier la conformité au droit de la décision attaquée et non de poursuivre la procédure de première instance (FF 2006 6986), les allégations nouvelles étant irrecevables (art. 326 al. 1 CPC).</w:t>
      </w:r>
    </w:p>
    <w:p>
      <w:r>
        <w:rPr>
          <w:b/>
        </w:rPr>
        <w:t>E. 5</w:t>
      </w:r>
    </w:p>
    <w:p>
      <w:r>
        <w:t>Il résulte de ce qui précède que le recours doit être rejeté selon la procédure de l'art. 322 al. 1 in fine CPC et la décision entreprise confirmée. Les frais judiciaires de deuxième instance, arrêtés à 150 fr. (art. 75 TFJC [Tarif des frais judiciaires en matière civile du 28 septembre 2010; RSV 270.11.5] par analogie), sont mis à la charge du recourant qui succombe (art. 106 al. 1 CPC). Il n’y a pas matière à allouer de dépens.</w:t>
      </w:r>
    </w:p>
    <w:p>
      <w:r>
        <w:t>- 10 - Par ces motifs, la Chambre des recours civile du Tribunal cantonal, statuant à huis clos, en application de l'art. 322 al. 1 CPC, prononce : I. Le recours est rejeté. II. Le prononcé est confirmé. III. Les frais judiciaires de deuxième instance, par 150 fr. (cent cinquante francs), sont mis à la charge du recourant J.________. IV. L'arrêt motivé est exécutoire. Le président : Le greffier : Du 16 avril 2012 Le dispositif de l'arrêt qui précède est communiqué par écrit aux intéressés. Le greffier : Du L'arrêt qui précède, dont la rédaction a été approuvée à huis clos, est notifié en expédition complète, par l'envoi de photocopies, à : - Me J.________, - T.________.</w:t>
      </w:r>
    </w:p>
    <w:p>
      <w:r>
        <w:t>- 11 - La Chambre des recours civile considère que la valeur litigieuse est de 7'212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