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TT10.020246 vom 3. März 2011</w:t>
      </w:r>
    </w:p>
    <w:p>
      <w:r>
        <w:t>VD Tribunal cantonal, 2011-03-03, FR</w:t>
      </w:r>
    </w:p>
    <w:p>
      <w:r>
        <w:rPr>
          <w:b/>
        </w:rPr>
        <w:t xml:space="preserve">Quelle: </w:t>
      </w:r>
      <w:r>
        <w:t>https://mcp.opencaselaw.ch/entscheid/vd_gerichte_TT10.020246</w:t>
      </w:r>
    </w:p>
    <w:p>
      <w:r>
        <w:t>FR: VD_GERICHTE TT10.020246 du 3 mars 2011</w:t>
      </w:r>
    </w:p>
    <w:p>
      <w:r>
        <w:t>IT: VD_GERICHTE TT10.020246 del 3 marzo 2011</w:t>
      </w:r>
    </w:p>
    <w:p>
      <w:pPr>
        <w:pStyle w:val="Heading2"/>
      </w:pPr>
      <w:r>
        <w:t>Erwägungen</w:t>
      </w:r>
    </w:p>
    <w:p>
      <w:r>
        <w:rPr>
          <w:b/>
        </w:rPr>
        <w:t>E. 1</w:t>
      </w:r>
    </w:p>
    <w:p>
      <w:r>
        <w:t>Le code de procédure civile suisse du 19 décembre 2008 (ci- après : CPC; RS 272) est entré en vigueur le 1er janvier 2011. Toutefois le jugement attaqué a été communiqué aux parties avant cette date, de sorte que ce sont les règles du Code de procédure civile vaudois du 14 décembre 1966 (ci-après : CPC-VD; RSV 270.11) qui sont applicables au recours (art. 405 al. 1 CPC), ainsi que la LJT (Loi du 17 mai 1999 sur la juridiction du travail; RSV 173.61) alors en vigueur. L'art. 46 LJT ouvre la voie du recours en nullité et en réforme contre les jugements rendus par un tribunal de prud'hommes, selon les art. 444, 445 et 451 CPC-VD. Le recours, uniquement en réforme, interjeté en temps utile, est ainsi recevable.</w:t>
      </w:r>
    </w:p>
    <w:p>
      <w:r>
        <w:t>- 8 -</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w:t>
      </w:r>
    </w:p>
    <w:p>
      <w:r>
        <w:rPr>
          <w:b/>
        </w:rPr>
        <w:t>E. 3</w:t>
      </w:r>
    </w:p>
    <w:p>
      <w:r>
        <w:t>a) La recourante soutient que n'y a pas d'éléments au dossier qui permettent de considérer que le licenciement est abusif. Elle fait valoir que les jurisprudences fédérales auxquelles se réfère le jugement attaqué s'inscrivent dans des circonstances éminemment différentes et que l'on ne peut retenir qu'elle a manqué d'égards dans l'exercice de son droit de résiliation. Elle ajoute au demeurant que l'on ne saurait qualifier un licenciement d'abusif en raison du contenu d'un document établi postérieurement à celui-ci. b) Selon l'art. 335 al. 1 CO (Code des obligations du 30 novembre 1911; RS 220),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w:t>
      </w:r>
    </w:p>
    <w:p>
      <w:r>
        <w:t>- 9 - c. 4.1; ATF 130 III 699 c. 4.1). L'art. 336 CO énumère les cas où le congé est abusif.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Tribunal fédéral a admis que l'employeur avait manqué d'égards lorsque les circonstances liées à la personnalité ou à la condition du travailleur rendait la résiliation choquante (licenciement fusible, intérêt légitime du salarié au maintien du contrat, non respect de la personnalité du travailleur). L'appréciation du caractère abusif d'un licenciement suppose l'examen de toutes les circonstances de l'espèce (cf. ATF 132 III 115 c. 2.1 à 2.5; ATF 131 III 535 c. 4.2). Toutefois, dans un arrêt récent, le Tribunal fédéral a considéré que le fait de lire à haute voix devant une tierce personne une lettre de congé – laquelle mentionnait le comportement inacceptable de l'employée envers ses collègues – n'était certes pas opportun mais non constitutif d'un abus au sens de l'art. 336 CO (TF 4A_158/2010 du 22 juin 2010). Conformément à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w:t>
      </w:r>
    </w:p>
    <w:p>
      <w:r>
        <w:t>- 10 -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c) En l'espèce, l'on constate, à la lumière des témoignages recueillis, que les motifs de licenciement étaient réels car, même si l'intimée entretenait de bonnes relations avec ses collègues, le travail qu'elle fournissait pouvait parfois être insuffisant. Les motifs de licenciement indiqués dans la lettre de congé sont donc les véritables motifs ayant conduit au licenciement, lesquels ne sont pas abusifs. S'agissant de la manière dont le droit de résilier a été exercé, l'on ne saurait retenir le raisonnement des premiers juges. En effet, la lettre de licenciement n'a pas été portée à la connaissance de tiers et l'on ne peut dès lors considérer que celle-ci porte atteinte à la réputation professionnelle de l'intimée, contrairement au certificat de travail, dont le contenu a fait l'objet d'une transaction partielle. C'est sur requête de l'intimée que la recourante lui a indiqué quels étaient les motifs de son licenciement. Si les termes employés par la recourante, à savoir que "les objectifs fixés sur le plan technique et humain ne sont pas atteints, ce qui engendre des problèmes considérables dans notre société", ont été mal perçus par l'intimée, ils ne sont pas de nature à porter une atteinte à sa personnalité qui soit comparable aux cas expressément mentionnés à l'art. 336 CO. Par ailleurs, un licenciement ne saurait être considéré comme abusif en raison des termes utilisés dans une lettre rédigée postérieurement à la signification du congé. Le recours doit donc être admis.</w:t>
      </w:r>
    </w:p>
    <w:p>
      <w:r>
        <w:t>- 11 -</w:t>
      </w:r>
    </w:p>
    <w:p>
      <w:r>
        <w:rPr>
          <w:b/>
        </w:rPr>
        <w:t>E. 4</w:t>
      </w:r>
    </w:p>
    <w:p>
      <w:r>
        <w:t>En conclusion, le recours de L.________SA doit être admis et le jugement réformé en ce sens qu'aucune indemnité n'est accordée à T.________. Portant sur un conflit de travail dont la valeur litigieuse ne dépasse pas 30'000 fr., le présent arrêt doit être rendu sans frais (art. 343 al. 3 CP-VD). Obtenant gain de cause, la recourante a droit à des dépens de deuxième instance fixés à 400 fr. (art. 92 CPC-VD et 5 al. 1 TAv [tarif du 17 juin 1986 des honoraires d'avocat dus à titre de dépens; RSV 177.11.3]). Par ces motifs, la Chambre des recours du Tribunal cantonal, statuant à huis clos, prononce : I. Le recours est admis. II. Le jugement est réformé comme il suit : I. Les conclusions de la demanderesse T.________ prises selon requêtes des 21 et 30 juin 2010 sont rejetées. II. La présente décision est rendue sans frais. III. L'intimée T.________ doit verser à la recourante L.________SA la somme de 400 fr. (quatre cents francs) à titre de dépens de deuxième instance.</w:t>
      </w:r>
    </w:p>
    <w:p>
      <w:r>
        <w:t>- 12 - IV. L'arrêt est rendu sans frais. V. L'arrêt motivé est exécutoire. Le président : La greffière : Du 3 mars 2011 Le dispositif de l'arrêt qui précède est communiqué par écrit aux intéressés. La greffière : Du L'arrêt qui précède, dont la rédaction a été approuvée à huis clos, est notifié en expédition complète, par l'envoi de photocopies, à : - Me Rolf Ditesheim (pour L.________SA), - Mme T.________. La Chambre des recours considère que la valeur litigieuse est de 4'000 francs. Le présent arrêt peut faire l'objet d'un recours en matière civile devant le Tribunal fédéral au sens des art. 72 ss LTF (loi du 17 juin 2005 sur le Tribunal fédéral – RS 173.110), cas échéant d'un recours</w:t>
      </w:r>
    </w:p>
    <w:p>
      <w:r>
        <w:t>- 13 -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