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TT09.009824 vom 16. September 2009</w:t>
      </w:r>
    </w:p>
    <w:p>
      <w:r>
        <w:t>VD Tribunal cantonal, 2009-09-16, FR</w:t>
      </w:r>
    </w:p>
    <w:p>
      <w:r>
        <w:rPr>
          <w:b/>
        </w:rPr>
        <w:t xml:space="preserve">Quelle: </w:t>
      </w:r>
      <w:r>
        <w:t>https://mcp.opencaselaw.ch/entscheid/vd_gerichte_TT09.009824</w:t>
      </w:r>
    </w:p>
    <w:p>
      <w:r>
        <w:t>FR: VD_GERICHTE TT09.009824 du 16 septembre 2009</w:t>
      </w:r>
    </w:p>
    <w:p>
      <w:r>
        <w:t>IT: VD_GERICHTE TT09.009824 del 16 settembre 2009</w:t>
      </w:r>
    </w:p>
    <w:p>
      <w:pPr>
        <w:pStyle w:val="Heading2"/>
      </w:pPr>
      <w:r>
        <w:t>Erwägungen</w:t>
      </w:r>
    </w:p>
    <w:p>
      <w:r>
        <w:rPr>
          <w:b/>
        </w:rPr>
        <w:t>E. 2</w:t>
      </w:r>
    </w:p>
    <w:p>
      <w:r>
        <w:t>La défenderesse a pris N.________ à son service depuis le 1er mars 2008. Par lettre du 12 février 2008, la Commune de G.________ a déclaré ce qui suit à la demanderesse : nous "avons le plaisir de confirmer votre engagement en qualité de fonctionnaire de police, conformément au statut du personnel dont nous vous remettons un exemplaire en annexe". Parties admettent à l’unisson que le statut du personnel trouve application in casu. L’art. 1 du Statut du personnel distingue les employés communaux "courants" des personnes, travaillant également pour la défenderesse, "exerçant une des activités régies par des règlements</w:t>
      </w:r>
    </w:p>
    <w:p>
      <w:r>
        <w:t>- 3 - spéciaux ou par une législation particulière, notamment les membres du corps de police". L’art. 2 du Statut du personnel de la Commune de G.________ déclare ce qui suit: "Les rapports de travail entre l’employé et la Commune sont régis par le droit public. Ils découlent de la conclusion d’un contrat de travail établi en la forme écrite. Les rapports de travail sont régis par le contrat de travail, le présent statut et ses directives d’application (annexes), ainsi que par le Code de obligations (CO) à titre de droit communal supplétif ».</w:t>
      </w:r>
    </w:p>
    <w:p>
      <w:r>
        <w:rPr>
          <w:b/>
        </w:rPr>
        <w:t>E. 3</w:t>
      </w:r>
    </w:p>
    <w:p>
      <w:r>
        <w:t>Par lettre du 23 décembre 2008, la défenderesse a mis fin aux rapports existant entre parties pour le 31 janvier 2009 en ces termes: "Lors de sa séance du 15 décembre 2008, la Municipalité a pris la décision de résilier votre contrat de travail en respectant les délais prévus à l’art. 57 du statut du personnel, soit avec effet au 31 janvier 2009".</w:t>
      </w:r>
    </w:p>
    <w:p>
      <w:r>
        <w:rPr>
          <w:b/>
        </w:rPr>
        <w:t>E. 4</w:t>
      </w:r>
    </w:p>
    <w:p>
      <w:r>
        <w:t>A bien comprendre la demanderesse, celle-ci plaide que le "congé" est abusif. En effet, à son allégué N° 45, elle déclare que "ce congé donné abusivement entraîne, compte tenu des circonstances de sa notification, des conséquences très dommageables pour la requérante".</w:t>
      </w:r>
    </w:p>
    <w:p>
      <w:r>
        <w:rPr>
          <w:b/>
        </w:rPr>
        <w:t>E. 5</w:t>
      </w:r>
    </w:p>
    <w:p>
      <w:r>
        <w:t>A l'appui de son recours, la recourante allègue que c'est à tort que le premier juge a décliné sa compétence, celle-ci étant en réalité fondée tant au regard de la LJT, qu'au regard de l'art. 63 du statut du personnel de la Commune de G.________. Elle soutient également que la</w:t>
      </w:r>
    </w:p>
    <w:p>
      <w:r>
        <w:t>- 8 - compétence résiduelle du président du tribunal d'arrondissement est exclue en application des dispositions précitées. L'intimée, tout en admettant que la recourante a été engagée par contrat de droit public, soutient quant à elle que, bien que la LJT autorise la saisine d'un tribunal de prud'hommes lorsque l'Etat ou une autre collectivité publique est partie au rapport de droit litigieux, elle n'en réserve pas moins toutes autres dispositions contraires. Or, en l'espèce, il convient selon elle d'admettre que l'art. 63 du statut du personnel est une disposition contraire qui fonde la compétence des tribunaux ordinaires, à l'exclusion de la juridiction prud'hommale, comme la retenu à juste titre le premier juge.</w:t>
      </w:r>
    </w:p>
    <w:p>
      <w:r>
        <w:rPr>
          <w:b/>
        </w:rPr>
        <w:t>E. 6</w:t>
      </w:r>
    </w:p>
    <w:p>
      <w:r>
        <w:t>Entrée en vigueur le 1er octobre 2000, la LJT a été adoptée en troisième débat le 17 mai 1999 dans le cadre du projet de réforme de l'organisation judiciaire vaudoise. Son élaboration a été motivée par un souci de simplification de la juridiction du travail, alors extraordinairement complexe. Jusqu'au 1er octobre 2000 en effet, les conflits du travail n'étaient pas traités par les mêmes autorités judiciaires et selon la même procédure en fonction du for du litige. Au fil des ans, certaines communes avaient en effet institué un tribunal de prud'hommes compétent pour toutes les contestations entre employeurs et employés lorsque ces contestations avaient trait au contrat de travail et que la valeur litigieuse n'excédait pas 20'000 francs. Ces tribunaux appliquaient une procédure spéciale, la loi du 17 mai 1954 sur les tribunaux de prud'hommes. Dans les communes n'ayant pas institué un tel tribunal, le juge de paix du cercle était compétent pour traiter de ces litiges lorsque la valeur litigieuse était inférieure à 4'000 francs. Au-delà et jusqu'à 20'000 fr., la cause relevait du président du tribunal de district. Enfin, pour les litiges dont la valeur litigieuse était supérieure à 20'000 fr., ils étaient examinés par la Cour civile du Tribunal cantonal. Chacune de ces instances appliquait une procédure qui lui était propre (Exposé des motifs [ci-après: EMPL], Bulletin du Grand conseil [ci-après: BGC], Séance du 3 mars 1999, pp. 6245-6246).</w:t>
      </w:r>
    </w:p>
    <w:p>
      <w:r>
        <w:t>- 9 - La LJT a mis fin à cette organisation complexe en généralisant l'institution des tribunaux de prud'hommes à l'ensemble du canton et en leur fournissant une procédure unique à appliquer. Adoptée après un débat nourri sur la question de la compétence ratione valoris du tribunal de prud'hommes et sur la question des dépens, la LJT résulte d'un compris entre les différents partis politiques du canton. A titre de nouveauté, la LJT a notamment abandonné toute référence à la qualité pour agir devant la juridiction du travail. Elle s'applique ainsi à tout ayant droit, pourvu que la contestation relève de son article premier. Elle a en revanche exclu de son champ d'application les fonctionnaires nommés d'une collectivité publique ou d'un établissement public soumis, lors d'un litige sur leurs rapports de travail, au statut du personnel, maintenant ainsi la solution qui prévalait avant son entrée en vigueur. Enfin, faisant suite à une revendication de l'Union syndicale vaudoise, un art. 3 al. 3 y a été introduit, ouvrant ainsi l'accès au tribunal de prud'hommes aux personnes engagées par contrat de droit privé d'une collectivité publique (EMPL, BGC, Séance du 3 mars 1999, p. 6251). L'adoption de cet art. 3 n'a suscité aucun débat (BGC, Séance du 4 mai 1999, p. 193).</w:t>
      </w:r>
    </w:p>
    <w:p>
      <w:r>
        <w:rPr>
          <w:b/>
        </w:rPr>
        <w:t>E. 7</w:t>
      </w:r>
    </w:p>
    <w:p>
      <w:r>
        <w:t>Aux termes de l'art. 3 al. 2 LJT, les litiges entre une collectivité publique ou un établissement public et un fonctionnaire nommé ne sont pas soumis aux dispositions de la présente loi. L'intimée étant en l'espèce une collectivité publique, il convient d'examiner si la recourante a la qualité de fonctionnaire communale nommée, ce qui exclurait l'application de la LJT au présent cas. Les obligations des fonctionnaires communaux sont étendues, leurs droits sont relativement complexes; ils forment dans leur ensemble ce que l'on appelle le statut de la fonction publique communale. Un tel régime prend naissance par un acte de nomination, qui doit être qualifié</w:t>
      </w:r>
    </w:p>
    <w:p>
      <w:r>
        <w:t>- 10 - de décision; cet acte intervient généralement à l'issue d'une procédure, comportant souvent une mise au concours. En outre, la nomination est qualifiée de décision soumise à acceptation de l'intéressé (Moor, Droit administratif, vol. III, n. 5.1.2.1, p. 210-211, et n. 5.1.3.1, p. 214-216). Autrement dit, la nomination d’un fonctionnaire communal intervient à l'issue d'une procédure et doit revêtir une certaine forme; elle doit enfin être acceptée par son destinataire. Avant toute chose, la procédure de nomination implique que la commune ait adopté une réglementation sur le statut de la fonction publique communale fixant les conditions de la nomination du fonctionnaire, ses droits et ses obligations, ainsi que la procédure disciplinaire et les conditions de révocation de la décision de nomination (art. 4 al. 1 ch. 8 LC [loi sur les communes du 28 février 1956; RSV 175.11]) (CDAP, GE.2008.0172 du 11 décembre 2008 et réf. citées). Au contraire de statuts communaux utilisant le terme de nomination pour parler de l'engagement d'un employé (cf. GE.2008.0172 précité), le statut du personnel de l'intimée expose que l'engagement de ses futurs employés a lieu par un contrat (art. 7 du statut). L'art. 2 du statut précise d'ailleurs que les rapports de travail entre l'employé et la Commune "découlent de la conclusion d'un contrat de travail établi en la forme écrite" et l'art. 1 de ce même statut indique clairement qu' "est considéré comme employé (…), toute personne engagée en cette qualité par la municipalité". Ainsi, il ressort clairement du statut du personnel de l'intimée que sa volonté a été d'opter pour une réglementation des rapports de travail avec ses employés fondés sur un contrat et non sur un acte de nomination. La recourante, ce que l'intimée ne conteste d'ailleurs pas dans ses déterminations, n'est dès lors pas une fonctionnaire nommée, de sorte que la compétence du tribunal de prud'hommes ne peut être exclue en se fondant sur l'art. 3 al. 2 LJT, comme l'a retenu à tort le premier juge. Le contrat du 12 février 2008 (cf. pce 1 du bordereau du</w:t>
      </w:r>
    </w:p>
    <w:p>
      <w:r>
        <w:rPr>
          <w:b/>
        </w:rPr>
        <w:t>E. 12</w:t>
      </w:r>
    </w:p>
    <w:p>
      <w:r>
        <w:t>mars 2009) et la lettre de résiliation des rapports de travail du 23 décembre 2008 (cf. pce 11 du bordereau précité) confirment si besoin était cet élément en indiquant que la municipalité a "le plaisir de confirmer [à la recourante] son engagement" ou encore, en précisant que la</w:t>
      </w:r>
    </w:p>
    <w:p>
      <w:r>
        <w:t>- 11 - municipalité a pris la décision de résilier le contrat de travail de la recourante. Cela dit, il sied encore de relever que la recourante est liée à l'intimée par un rapport "de droit public". En effet, comme le prévoit l'art. 2 du statut du personnel, les rapports de travail entre l'employé et la commune sont régis par le droit public, soit spécifiquement par le contrat de travail, le statut et ses directives d'application, ainsi que par le CO (Code des obligations du 30 novembre 1911; RS 220) à titre de droit communal supplétif. On est donc en présence d'un contrat de droit administratif, par opposition au contrat de droit privé, régissant notamment au niveau de l'intimée, ses rapports avec son personnel auxiliaire (art. 3 du statut du personnel). 8. Selon l'art. 3 al. 3 LJT, sous réserve de dispositions contraires, notamment celles prévues par la loi sur le personnel de l'Etat de Vaud, les personnes engagées par contrat d'une collectivité publique ou d'un établissement public peuvent saisir les autorités compétentes en matière de juridiction du travail conformément aux présentes dispositions. L'intimée soutient que l'art. 63 de son statut du personnel, qui dispose qu'en cas de litige découlant des rapports de travail entre la municipalité et l'employé, les tribunaux ordinaires sont compétents conformément à l'art. 3 al. 3 LJT, est une disposition contraire au sens de l'art. 3 al. 3 LJT, qui exclut la compétence des tribunaux de prud'hommes. L'intimée ne peut être suivie dans son raisonnement. En effet, cet article, bien que d'une rédaction peu claire, renvoie à l'art. 3 al. 3 LJT en utilisant le terme "conformément". L'utilisation de ce terme, qui signifie "d'une manière conforme à quelque chose" (cf. Le Petit Robert), apparaîtrait comme totalement contradictoire si la volonté des rédacteurs du statut était de renvoyer à l'art. 3 al. 3 LJT tout en voulant y déroger, comme le soutient l'intimée. Il apparaît bien plutôt que cet article doit se lire comme une confirmation que le statut communal n'institue pas un</w:t>
      </w:r>
    </w:p>
    <w:p>
      <w:r>
        <w:t>- 12 - régime de nomination et donc de décision susceptible de recours auprès des autorités judiciaires administratives, mais un régime de contrat de droit administratif, pour lequel les "tribunaux ordinaires", par quoi il faut entendre les tribunaux civils en général, sont compétents pour statuer en cas de litige, conformément à la théorie du contentieux administratif subjectif qui veut que, lorsque le juge est invité à examiner l'existence d'un droit subjectif, notamment dans les contestations pécuniaires entre une corporation de droit public et un administré, les autorités judiciaires civiles sont compétentes lorsqu'aucune disposition légale ne donne à l'autorité administrative la compétence de prendre une décision, par opposition au contentieux administratif objectif où le juge est invité à examiner la légalité d'un acte administratif indépendamment des droits qui peuvent être en cause (JT 2005 III 39 et réf. citées). Mal fondé, le moyen de l'intimée doit ainsi être rejeté. 9. Reste à savoir si l'art. 1 LJT, dans la mesure où il prévoit que cette loi s'applique aux "contestations de droit civil", exclut de son champ d'application les contrats de droit administratif, ainsi que l'a retenu le premier juge. Dans ce cas, la compétence des autorités judiciaires civiles serait donnée par les règles ordinaires de compétence ratione valoris. Les travaux préparatoires, notamment l'EMPL (BGC, Séance du 3 mars 1999, p. 6249), ne précisent par la portée de la notion de "contestations de droit civil". Il en ressort uniquement que la LJT s'applique "à toutes les causes ayant leur source dans le titre dixième du Code des obligations ainsi que, par le renvoi de l'art. 335 CO, aux rapports contractuels individuels de travail régis par un contrat de travail à caractère spécial, comme le contrat d'apprentissage, d'engagement des voyageurs de commerce ou le contrat de travail à domicile. En revanche, un litige opposant un travailleur ou un employeur à une caisse de pension n'est pas soumis à l'art. 343 CO et échappe par conséquent à la loi sur la juridiction du travail". Les débats parlementaires ne précisent pas plus cette notion, l'art. 1 LJT ayant été adopté sans discussion (BGC, Séance du 4 mai 1999, p. 183). Selon Tappy, rien n'indique cependant que le</w:t>
      </w:r>
    </w:p>
    <w:p>
      <w:r>
        <w:t>- 13 - législateur vaudois ait voulu donner à la notion de contestation civile un sens différent que celui largement explicité dans le cadre des art. 41 et 43 ss aOJ (loi fédérale d'organisation judiciaire du 16 décembre 1943 (OJ), aujourd'hui abrogée) par la jurisprudence fédérale et la doctrine (Les compétences des nouveaux tribunaux de prud'hommes vaudois, in Mélanges en l'honneur de Jean-Louis Duc, 2001, pp. 348-349). Ainsi, à première vue, la LJT exclut de son champ d'application les contrats de droit administratif. 10. L'art. 3 al. 3 LJT, dans sa teneur actuelle, a été adopté, sans discussion (BGC, Séance du 9 octobre 2001, p. 3875), en deuxième débat le 9 octobre 2001, dans le cadre de l'examen la LPers-VD (loi sur personnel de l'Etat de Vaud du 12 novembre 2001). L'EMPL de la LPers-VD prévoyait en premier lieu son abrogation au motif que les litiges de nature contractuelle entre une collectivité publique ou un établissement de droit public et son personnel relèveraient à l'avenir du Tribunal arbitral institué par cette nouvelle loi (EMPL, Séance du 4 septembre 2001, pp. 2258- 2259). L'art. 3 al. 3 LJT a cependant été réintroduit lors des débats parlementaires, par un amendement proposé par le Conseil d'Etat. A ce propos, le rapporteur de majorité Jean-Jacques Schilt a notamment indiqué ce qui suit: "La loi du 17 mai 1999 sur la juridiction du travail prévoit à son art. 3 que les litiges entre une collectivité publique, ou un établissement public, et un fonctionnaire nommé ne sont pas soumis à dite loi. L’al. 3 prévoit une exception à ce principe pour les personnes engagées par contrat par une collectivité publique ou un établissement public. Le projet du Conseil d’Etat, d’une part, adapte l’al. 2 pour exclure de la loi sur la juridiction du travail les conflits entre une collectivité publique et un collaborateur, et, d’autre part, abroge l’al. 3 puisqu’à l’Etat, si la loi est acceptée, toutes les personnes engagées par contrat pourront saisir la juridiction propre à l’administration cantonale. Certaines communes ont, très récemment, introduit la possibilité d’engager les fonctionnaires communaux par contrat. Or, comme vous le savez, les communes sont des collectivités publiques. Il importe donc de maintenir la possibilité pour les fonctionnaires communaux nommés de ne pas être soumis à la loi sur la juridiction du travail, comme aujourd’hui, et de conférer à ceux qui ne</w:t>
      </w:r>
    </w:p>
    <w:p>
      <w:r>
        <w:t>- 14 - sont pas nommés mais engagés par contrat la possibilité de s’adresser au tribunal de prud’hommes du secteur privé. (…)" (BGC, Séance du 9 octobre 2001, p. 3874). A la lecture de ce qui précède, il apparaît que la volonté du législateur, en maintenant l'art. 3 al. 3 LJT, dans une teneur légèrement modifiée – la version du 17 mai 1999 ne faisait pas référence à la LPers-VD – a été de permettre à l'employé communal engagé par contrat de s'adresser de manière générale au tribunal de prud'hommes, sans qu'il soit fait de distinction à cet égard entre contrat de droit administratif ou contrat de droit privé. Cette opinion était d'ailleurs déjà celle exprimée par Tappy au sujet de l'ancien art. 3 al. 3 LJT (op. cit., p. 357), bien que l'EMPL de la LJT et les parlementaires ne semblaient faire référence à l'époque qu'au contrat de droit privé (EMPL, BGC, Séance du 3 mars 1999, p. 6251; BGC, Séance du 4 mai 1999, p. 181). La formulation, tant passée qu'actuelle de l'art. 3 al. 3 LJT, ainsi que les constatations du Conseil d'Etat dans son EMPL concernant la LPers (BGC, Séance du 4 septembre 2001, p. 2258), en ne mentionnant que le mot "contrat" ou "contestations de nature contractuelle", sans spécifier si le droit applicable est de nature privée ou publique, tendent cependant à confirmer l'opinion de Tappy précitée. Il convient ainsi d'admettre que l'art. 3 al. 3 LJT s'applique à toute personne engagée par une collectivité publique ou un établissement public, dès lors que l'engagement se fait par un contrat, indépendamment de sa nature. L'art. 3 al. 3 LJT est une lex specialis qui l'emporte sur la règle générale de compétence ratione materiae posée par l'art. 1 LJT, comme le relevait à juste titre déjà Tappy au sujet de l'ancien art. 3 al. 3 LJT (Tappy, op. cit., p. 358). Au vu de ce qui précède, c'est dès lors à tort que le premier juge a décliné sa compétence, le tribunal de prud'hommes étant compétent pour traiter du litige entre la recourante et l'intimée, à l'exclusion des autres autorités judiciaires civiles du canton, la valeur litigieuse étant de surcroît inférieure à 30'000 francs.</w:t>
      </w:r>
    </w:p>
    <w:p>
      <w:r>
        <w:t>- 15 - 11. En conclusion, le recours doit être admis et la décision attaquée réformée en ce sens que le Tribunal de prud'hommes de l'arrondissement de l'Est vaudois est compétent pour statuer sur la présente cause. S'agissant d'un conflit du travail dont la valeur litigieuse ne dépasse pas 30'000 fr., le présent arrêt doit être rendu sans frais (art. 343 al. 2 et 3 CO; 235 du tarif du 4 décembre 1984 des frais judiciaires en matière civile [TFJC; RSV 270.11.5]). La recourante, qui obtient gain de cause, a droit à des dépens de deuxième instance, fixés à 1'000 fr. (art. 91 et 92 CPC; art. 2 al. 1 ch. 33, 3 et 5 ch. 2 TAv [tarif du 17 juin 1986 des honoraires d'avocat dus à titre de dépens; RSV 177.11.3]).</w:t>
      </w:r>
    </w:p>
    <w:p>
      <w:r>
        <w:t>- 16 - Par ces motifs, la Chambre des recours du Tribunal cantonal, statuant à huis clos, prononce : I. Le recours est admis. II. Le jugement incident est réformé aux chiffres I et II de son dispositif comme il suit : I. Le déclinatoire n'est pas prononcé. II. Le Tribunal de prud'hommes de l'arrondissement de l'Est vaudois est compétent pour statuer sur la présente cause. Il est confirmé pour le surplus. III. L'arrêt est rendu sans frais. IV. L'intimée Commune de G.________ doit verser à la recourante N.________ la somme de 1'000 fr. (mille francs) à titre de dépens de deuxième instance. V. L'arrêt motivé est exécutoire. Le président : La greffière :</w:t>
      </w:r>
    </w:p>
    <w:p>
      <w:r>
        <w:t>- 17 - Du 16 septembre 2009 Le dispositif de l'arrêt qui précède est communiqué par écrit aux intéressés. La greffière : Du L'arrêt qui précède, dont la rédaction a été approuvée à huis clos, est notifié en expédition complète, par l'envoi de photocopies, à : - Me Michel Dupuis (pour N.________), - Me Pierre-Olivier Wellauer (pour la Commune de G.________). La Chambre des recours considère que la valeur litigieuse est de 26'256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Président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