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TR25.014622 vom 1. Oktober 2025</w:t>
      </w:r>
    </w:p>
    <w:p>
      <w:r>
        <w:t>VD Tribunal cantonal, 2025-10-01, FR</w:t>
      </w:r>
    </w:p>
    <w:p>
      <w:r>
        <w:rPr>
          <w:b/>
        </w:rPr>
        <w:t xml:space="preserve">Quelle: </w:t>
      </w:r>
      <w:r>
        <w:t>https://mcp.opencaselaw.ch/entscheid/vd_gerichte_TR25.014622</w:t>
      </w:r>
    </w:p>
    <w:p>
      <w:r>
        <w:t>FR: VD_GERICHTE TR25.014622 du 1 octobre 2025</w:t>
      </w:r>
    </w:p>
    <w:p>
      <w:r>
        <w:t>IT: VD_GERICHTE TR25.014622 del 1 ottobre 2025</w:t>
      </w:r>
    </w:p>
    <w:p>
      <w:pPr>
        <w:pStyle w:val="Heading2"/>
      </w:pPr>
      <w:r>
        <w:t>Erwägungen</w:t>
      </w:r>
    </w:p>
    <w:p>
      <w:r>
        <w:rPr>
          <w:b/>
        </w:rPr>
        <w:t>E. 1</w:t>
      </w:r>
    </w:p>
    <w:p>
      <w:r>
        <w:t>V.________ et F.________ se sont mariés le [...] 1999. Deux enfants sont issus de cette union : - [...], née le [...] 2006 ; - [...], né le [...] 2009.</w:t>
      </w:r>
    </w:p>
    <w:p>
      <w:r>
        <w:rPr>
          <w:b/>
        </w:rPr>
        <w:t>E. 2.1</w:t>
      </w:r>
    </w:p>
    <w:p>
      <w:r>
        <w:t>Le 25 mars 2025, F.________ a déposé auprès du Tribunal civil de La Côte une demande unilatérale de divorce. Par requête de mesures provisionnelles et superprovisionnelles du 25 août 2025, F.________ a notamment conclu à ce qu’interdiction soit faite à son épouse « d’aliéner ou de dégrader davantage les biens communs (tableaux et maison) » jusqu’à la liquidation complète de leur régime matrimonial.</w:t>
      </w:r>
    </w:p>
    <w:p>
      <w:r>
        <w:rPr>
          <w:b/>
        </w:rPr>
        <w:t>E. 2.2</w:t>
      </w:r>
    </w:p>
    <w:p>
      <w:r>
        <w:t>Par ordonnance de mesures superprovisionnelles du 26 août 2025, la Présidente du Tribunal civil de l’arrondissement de La Côte a interdit à V.________ d’aliéner des biens communs des époux F.________ et V.________ (I), a dit que l’ordonnance était valable jusqu’à droit connu sur la requête de mesures provisionnelles (II), a dit que les frais judiciaires et dépens de l’ordonnance suivraient le sort des mesures provisionnelles (III) et a rejeté toutes autres ou plus amples conclusions en tant qu’elles étaient prises à titre superprovisionnel (IV).</w:t>
      </w:r>
    </w:p>
    <w:p>
      <w:r>
        <w:rPr>
          <w:b/>
        </w:rPr>
        <w:t>E. 3</w:t>
      </w:r>
    </w:p>
    <w:p>
      <w:r>
        <w:t>Par acte du 8 septembre 2025, V.________ (ci-après : l’appelante) a interjeté « recours » contre cette ordonnance, en concluant en substance à sa réforme, en ce sens qu’elle soit autorisée à aliéner certains biens communs afin de « garantir l’avenir de ses enfants ».</w:t>
      </w:r>
    </w:p>
    <w:p>
      <w:r>
        <w:t>- 3 - L’intimé n’a pas été invité à se déterminer sur l’appel.</w:t>
      </w:r>
    </w:p>
    <w:p>
      <w:r>
        <w:rPr>
          <w:b/>
        </w:rPr>
        <w:t>E. 4.1.1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Un membre de la Cour d’appel civile statue comme juge unique sur les appels formés contre les décisions sur mesures provisionnelles (art. 84 al. 2 LOJV [loi d’organisation judiciaire du 12 décembre 1979 ; BLV 173.021]).</w:t>
      </w:r>
    </w:p>
    <w:p>
      <w:r>
        <w:rPr>
          <w:b/>
        </w:rPr>
        <w:t>E. 4.1.2</w:t>
      </w:r>
    </w:p>
    <w:p>
      <w:r>
        <w:t>Les mesures superprovisionnelles sont rendues en cas d’urgence particulière ; elles se distinguent des mesures provisionnelles (ordinaires)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 (art. 265 al. 2 CPC). Il rend alors une décision sur mesures provisionnelles qui remplace la décision superprovisionnelle.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Les mesures superprovisionnelles, contrairement aux ordonnances de mesures provisionnelles, ne sont pas susceptibles de recours. Cette exclusion du recours se justifie par le fait que le requérant parviendra en principe plus rapidement à ses fins en continuant la procédure devant le juge saisi plutôt qu’en déposant un recours auprès</w:t>
      </w:r>
    </w:p>
    <w:p>
      <w:r>
        <w:t>- 4 - d’une nouvelle autorité (ATF 139 III 86 consid. 1.1.1 ; ATF 137 III 417 consid. 1.3 ; TF 5A_551/2024 du 3 septembre 2024 consid. 5). La jurisprudence a cependant admis quelques rares exceptions. Ainsi,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précité, consid. 1.1 ; CACI 18 août 2025/359 consid. 8.2.2 ; Dobrzynski et Tseytlina, Le point sur le recours ex parte contre le refus de mesures superprovisionnelles, in Catelli/Sunaric [édit.], Mesures provisionnelles – défis pratiques, Zurich/Saint-Gall 2023, pp. 120 s.).</w:t>
      </w:r>
    </w:p>
    <w:p>
      <w:r>
        <w:rPr>
          <w:b/>
        </w:rPr>
        <w:t>E. 4.1.3</w:t>
      </w:r>
    </w:p>
    <w:p>
      <w:r>
        <w:t>Lorsqu’une partie interjette par erreur un certain type de voie de droit au lieu d’une autre, elle est en principe irrecevable. Dans certaines circonstances, il peut y avoir conversion : l’autorité de deuxième instance traite l’acte interjeté comme si la partie avait déclaré interjeter la voie de droit prévue par la loi, si les conditions de recevabilité de celle‑ci sont pour le surplus remplies. Cette conversion résulte de l’application du principe de l’interdiction du formalisme excessif (art. 29 al. 1 Cst. [Constitution fédérale de la Confédération suisse du 18 avril 1999 ; RS 101] ; TF 5A_221/2018 du 4 juin 2018 consid. 3.3.1 et la réf. citée). La jurisprudence admet toutefois très restrictivement la conversion lorsque la partie recourante est représentée par un mandataire professionnel (TF 5A_221/2018 précité consid. 3.3.1 s. ; CACI 26 avril 2024/188 consid. 4.3.1.2).</w:t>
      </w:r>
    </w:p>
    <w:p>
      <w:r>
        <w:rPr>
          <w:b/>
        </w:rPr>
        <w:t>E. 4.2</w:t>
      </w:r>
    </w:p>
    <w:p>
      <w:r>
        <w:t>En l’espèce, le « recours » de l’appelante, qui n’est pas assistée d’un représentant professionnel, a été converti en appel et transmis à la Cour de céans comme objet de sa compétence. Cette conversion ne change toutefois rien au sort de la cause.</w:t>
      </w:r>
    </w:p>
    <w:p>
      <w:r>
        <w:t>- 5 - En effet, comme précédemment rappelé, le CPC ne prévoit aucune voie de droit contre une décision de mesures superprovisionnelles. Au demeurant, aucune exception à ce principe n’est réalisée in casu, l’appelante n’invoquant pas la perte d’un droit à défaut de prononcé immédiat. Partant, l’appel formé par l’appelante doit être déclaré irrecevable, celle-ci étant renvoyée à faire valoir ses moyens dans le cadre de la procédure de mesures provisionnelles.</w:t>
      </w:r>
    </w:p>
    <w:p>
      <w:r>
        <w:rPr>
          <w:b/>
        </w:rPr>
        <w:t>E. 5.1</w:t>
      </w:r>
    </w:p>
    <w:p>
      <w:r>
        <w:t>Au vu de ce qui précède, l’appel doit être déclaré irrecevable selon la procédure de l’art. 312 al. 1 in fine CPC.</w:t>
      </w:r>
    </w:p>
    <w:p>
      <w:r>
        <w:rPr>
          <w:b/>
        </w:rPr>
        <w:t>E. 5.2</w:t>
      </w:r>
    </w:p>
    <w:p>
      <w:r>
        <w:t>Il ne sera pas perçu de frais judiciaires (art. 11 TFJC [tarif des frais judiciaires civils du 28 septembre 2010 ; BLV 270.11.5]).</w:t>
      </w:r>
    </w:p>
    <w:p>
      <w:r>
        <w:rPr>
          <w:b/>
        </w:rPr>
        <w:t>E. 5.3</w:t>
      </w:r>
    </w:p>
    <w:p>
      <w:r>
        <w:t>Il n’y a pas lieu d’allouer de dépens, l’intimé n’ayant pas été invité à se déterminer. Par ces motifs, le Juge unique de la Cour d’appel civile prononce : I. L’appel est irrecevable. II. L’arrêt, rendu sans frais, est exécutoire. Le juge unique : La greffière :</w:t>
      </w:r>
    </w:p>
    <w:p>
      <w:r>
        <w:t>- 6 - Du Le présent arrêt, dont la rédaction a été approuvée à huis clos, est notifié à : - Mme V.________ (personnellement), - M. F.________ (personnellement),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