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TR04.018307 vom 13. Mai 2011</w:t>
      </w:r>
    </w:p>
    <w:p>
      <w:r>
        <w:t>VD Tribunal cantonal, 2011-05-13, FR</w:t>
      </w:r>
    </w:p>
    <w:p>
      <w:r>
        <w:rPr>
          <w:b/>
        </w:rPr>
        <w:t xml:space="preserve">Quelle: </w:t>
      </w:r>
      <w:r>
        <w:t>https://mcp.opencaselaw.ch/entscheid/vd_gerichte_TR04.018307</w:t>
      </w:r>
    </w:p>
    <w:p>
      <w:r>
        <w:t>FR: VD_GERICHTE TR04.018307 du 13 mai 2011</w:t>
      </w:r>
    </w:p>
    <w:p>
      <w:r>
        <w:t>IT: VD_GERICHTE TR04.018307 del 13 maggio 2011</w:t>
      </w:r>
    </w:p>
    <w:p>
      <w:pPr>
        <w:pStyle w:val="Heading2"/>
      </w:pPr>
      <w:r>
        <w:t>Erwägungen</w:t>
      </w:r>
    </w:p>
    <w:p>
      <w:r>
        <w:rPr>
          <w:b/>
        </w:rPr>
        <w:t>E. 6</w:t>
      </w:r>
    </w:p>
    <w:p>
      <w:r>
        <w:t>En conclusion, le recours et le recours joint sont partiellement admis. En application de l’art. 16 al. 6 LPers-VD, la procédure n’est pas gratuite ; les frais de deuxième instance du recourant sont arrêtés à 5'213 fr. et ceux du recourant par voie de jonction à 370 fr. (art. 232 al. 1 TFJC [Tarif des frais judiciaires en matière civile du 4 décembre 1984]). Vu le sort du recours et du recours joint, les dépens de deuxième instance doivent être compensés. Par ces motifs, la Chambre des recours du Tribunal cantonal, statuant à huis clos, prononce : I. Le recours et le recours joint sont partiellement admis. II. Le jugement est réformé aux chiffres I à III de son dispositif comme il suit : I. et II. Supprimés. III. L'Etat de Vaud est le débiteur de R.________ et lui doit immédiat paiement de la somme de 12'000 fr. (douze mille francs) avec intérêt à 5 % l'an à compter du 7 mars 2006. Le jugement est confirmé pour le surplus. III. Les frais de deuxième instance du recourant R.________ sont arrêtés à 5'213 fr. (cinq mille deux cent treize francs) et ceux du recourant par voie de jonction Etat de Vaud à 370 fr. (trois cent septante francs).</w:t>
      </w:r>
    </w:p>
    <w:p>
      <w:r>
        <w:t>- 40 - IV. Les dépens de deuxième instance sont compensés. V. L'arrêt motivé est exécutoire. Le président : Le greffier : Du 13 mai 2011 Le dispositif de l'arrêt qui précède est communiqué par écrit aux intéressés. Le greffier : Du L'arrêt qui précède, dont la rédaction a été approuvée à huis clos, est notifié en expédition complète, par l'envoi de photocopies, à : - Me Mireille Loroch (pour R.________) - Service de justice de l’Etat de Vaud La Chambre des recours considère que la valeur litigieuse est de 1'056'682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- 41 -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