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TP09.033170 vom 15. Juli 2011</w:t>
      </w:r>
    </w:p>
    <w:p>
      <w:r>
        <w:t>VD Tribunal cantonal, 2011-07-15, FR</w:t>
      </w:r>
    </w:p>
    <w:p>
      <w:r>
        <w:rPr>
          <w:b/>
        </w:rPr>
        <w:t xml:space="preserve">Quelle: </w:t>
      </w:r>
      <w:r>
        <w:t>https://mcp.opencaselaw.ch/entscheid/vd_gerichte_TP09.033170</w:t>
      </w:r>
    </w:p>
    <w:p>
      <w:r>
        <w:t>FR: VD_GERICHTE TP09.033170 du 15 juillet 2011</w:t>
      </w:r>
    </w:p>
    <w:p>
      <w:r>
        <w:t>IT: VD_GERICHTE TP09.033170 del 15 luglio 2011</w:t>
      </w:r>
    </w:p>
    <w:p>
      <w:pPr>
        <w:pStyle w:val="Heading2"/>
      </w:pPr>
      <w:r>
        <w:t>Erwägungen</w:t>
      </w:r>
    </w:p>
    <w:p>
      <w:r>
        <w:rPr>
          <w:b/>
        </w:rPr>
        <w:t>E. 2</w:t>
      </w:r>
    </w:p>
    <w:p>
      <w:r>
        <w:t>Selon l’art. 176 al. 1 ch. 1 CC (Code civil du 10 décembre 1907, RS 210),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références, JT 2007 I 351).</w:t>
      </w:r>
    </w:p>
    <w:p>
      <w:r>
        <w:t>- 9 - La jurisprudence a en outre précisé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5A_710/2009 du 22 février 2010 c. 4.1 et les réf. citées ; TF 5A_205/2010 du 12 juillet 2010 c. 4.2.3, publié in FamPra.ch 2010, p. 894). Les mesures provisionnelles ont été introduites en première instance avant l'entrée en vigueur du CPC. Selon la jurisprudence antérieure au CPC,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(TF 5P.114/2006 du 12 mars 2007 c. 2). Cette jurisprudence conserve sa portée sous l'égide du CPC (cf. Kobel, Kommentar zur Schweizerischen Zivilprozessordnung, Zurich-Bâle-Genève 2010, nn. 34 et 35 ad art. 276 CPC). Elle est également applicable lorsque le juge des mesures provisoires est requis de modifier des mesures protectrices prises avant la litispendance (ATF 129 III 60; cf. art. 276 al. 2 CPC).</w:t>
      </w:r>
    </w:p>
    <w:p>
      <w:r>
        <w:rPr>
          <w:b/>
        </w:rPr>
        <w:t>E. 3</w:t>
      </w:r>
    </w:p>
    <w:p>
      <w:r>
        <w:t>a) L'appelant fait valoir que son assurance-maladie s'élève à 231 fr. 95 et non à 200 fr. comme retenu par le premier juge. La police d'assurance du 2 avril 2011 étant postérieure à l'audience de première instance, elle est recevable et permet de retenir le montant de 231 fr. 95 allégué. b) Par contre, le contrat de bail à loyer étant irrecevable car non produit en première instance, il sied de confirmer le montant de 730 fr. retenu par le premier juge.</w:t>
      </w:r>
    </w:p>
    <w:p>
      <w:r>
        <w:t>- 10 -</w:t>
      </w:r>
    </w:p>
    <w:p>
      <w:r>
        <w:rPr>
          <w:b/>
        </w:rPr>
        <w:t>E. 4</w:t>
      </w:r>
    </w:p>
    <w:p>
      <w:r>
        <w:t>L'appelant conteste qu'un gain hypothétique puisse lui être imputé. Il fait valoir qu'il est au chômage sans sa faute et qu'il accomplit tous les efforts que l'on peut exiger de lui pour retrouver un emploi.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En l'espèce, l'appelant a délibérément choisi de résilier son contrat de travail, qui plus est avec effet immédiat, au motif que son employeur lui avait refusé une augmentation de salaire. Ce faisant, il a pris le risque de ne plus être en mesure de verser la contribution d'entretien mise à sa charge. On aurait pu attendre de lui soit qu'il fasse valoir ses droits envers son employeur devant les Prud'hommes tout en restant au service de ce dernier, soit qu'il attende d'avoir trouvé un nouvel emploi avant de donner son congé. Par ailleurs, force est de constater, au vu des pièces produites, que si l'appelant a suivi un cours de trois jours et a été assigné à un programme d'emploi temporaire, ses recherches d'emploi paraissent insuffisantes. Il produit en effet en tout et pour tout huit réponses pour</w:t>
      </w:r>
    </w:p>
    <w:p>
      <w:r>
        <w:t>- 11 - sept mois de chômage. Il aurait également pu diversifier ses offres dans le domaine de la restauration, où il a également œuvré entre 2000 et 2002. Compte tenu de l'âge et du bon état de santé de l'appelant, c'est de manière conforme au droit fédéral que le premier juge a retenu un revenu hypothétique de 3'700 fr. brut, respectivement 3'300 fr. net par mois, qui est inférieur aux salaires dans la branche du commerce ou de la restauration où a travaillé l'appelant. On relèvera à cet égard que le salaire moyen brut pour des activités simples et répétitives, selon les Enquêtes sur les structures de salaires de l'Office fédéral de la statistique, s'élève à 4'210 fr. dans le domaine du commerce et à 3'683 fr. dans le domaine de l'hôtellerie (Annuaire statistique de la Suisse 2010 p. 108). L'obtention d'un revenu net de 3'300 fr. apparaît donc à la fois exigible et possible au vu de l'ensemble des circonstances.</w:t>
      </w:r>
    </w:p>
    <w:p>
      <w:r>
        <w:rPr>
          <w:b/>
        </w:rPr>
        <w:t>E. 5</w:t>
      </w:r>
    </w:p>
    <w:p>
      <w:r>
        <w:t>Lorsqu'un revenu hypothétique est admis, c'est au regard de ce revenu qu'il doit être examiné si le minimum vital du débiteur est sauvegardé (ATF 123 III 1 c. 3c). L'appelant dispose d'une capacité de gain de 3'300 fr. par mois et des charges, comprenant le minimum d'existence (1'350 francs), le loyer (730 francs) et l'assurance-maladie (231 fr. 95), de 2'312 francs. Il en résulte un excédent de l'ordre de 1'000 fr. par mois. Par conséquent, la contribution de 600 fr. par mois n'entame pas le minimum vital de l'appelant. En conséquent, l'appel doit être rejeté sur ce point.</w:t>
      </w:r>
    </w:p>
    <w:p>
      <w:r>
        <w:rPr>
          <w:b/>
        </w:rPr>
        <w:t>E. 6</w:t>
      </w:r>
    </w:p>
    <w:p>
      <w:r>
        <w:t>Conformément à l'art. 29 al. 3 première phrase Cst. (Constitution fédérale du 18 avril 1999; RS 101), toute personne qui ne dispose pas de ressources suffisantes a droit à l'assistance judiciaire gratuite, à moins que sa cause paraisse dépourvue de toute chance de succès. Ce principe se retrouve tant à l'art. 1 aLAJ (loi vaudoise du 24</w:t>
      </w:r>
    </w:p>
    <w:p>
      <w:r>
        <w:t>- 12 - novembre 1981 sur l'assistance judiciaire en matière civile; RSV 173.81, abrogée le 1er janvier 2011, cf. art. 173 CDPJ [Code de droit privé judiciaire vaudois du 12 janvier 2010; RSV 211.02]) qu'à l'art. 117 CPC.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En l'espèce, l'appel apparaissant d'emblée dénué de chance de succès, la requête d'assistance judiciaire doit être rejetée.</w:t>
      </w:r>
    </w:p>
    <w:p>
      <w:r>
        <w:rPr>
          <w:b/>
        </w:rPr>
        <w:t>E. 7</w:t>
      </w:r>
    </w:p>
    <w:p>
      <w:r>
        <w:t>En conclusion, l'appel doit être rejeté, en application de l'art. 312 al. 1 CPC, et l'ordonnance confirmée. Dès lors que le bénéfice de l'assistance judiciaire n'a pas été accordé à A.E.________, les frais de deuxième instance de l'appelant, arrêtés à 200 fr. pour tenir compte de sa situation financière (art. 6 al. 3 et 65 al. 2 TFJC [tarif du 28 septembre 2010 des frais judiciaires civils; RSV 270.11.5]), sont mis à sa charge.</w:t>
      </w:r>
    </w:p>
    <w:p>
      <w:r>
        <w:t>- 13 - Par ces motifs, le juge délégué de la Cour d’appel civile du Tribunal cantonal, statuant à huis clos, prononce : I. L’appel est rejeté. II. L'ordonnance est confirmée. III. La requête d'assistance judiciaire de l'appelant A.E.________ est rejetée. IV. Les frais judiciaires de deuxième instance, arrêtés à 200 fr. (deux cents francs), sont mis à la charge de l'appelant A.E.________. V. L'arrêt motivé est exécutoire. Le juge délégué : La greffière : Du 18 juillet 2011 Le dispositif de l'arrêt qui précède est communiqué par écrit aux intéressés. La greffière :</w:t>
      </w:r>
    </w:p>
    <w:p>
      <w:r>
        <w:t>- 14 - Du L'arrêt qui précède, dont la rédaction a été approuvée à huis clos, est notifié en expédition complète, par l'envoi de photocopies à : - Me Romano Buob (pour A.E.________), - Me Stéphane Coudray (pour B.E.________). La Cour d’appel civile considère que la valeur litigieuse est supérieure à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