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TP07.036341 vom 17. Dezember 2010</w:t>
      </w:r>
    </w:p>
    <w:p>
      <w:r>
        <w:t>VD Tribunal cantonal, 2010-12-17, FR</w:t>
      </w:r>
    </w:p>
    <w:p>
      <w:r>
        <w:rPr>
          <w:b/>
        </w:rPr>
        <w:t xml:space="preserve">Quelle: </w:t>
      </w:r>
      <w:r>
        <w:t>https://mcp.opencaselaw.ch/entscheid/vd_gerichte_TP07.036341</w:t>
      </w:r>
    </w:p>
    <w:p>
      <w:r>
        <w:t>FR: VD_GERICHTE TP07.036341 du 17 décembre 2010</w:t>
      </w:r>
    </w:p>
    <w:p>
      <w:r>
        <w:t>IT: VD_GERICHTE TP07.036341 del 17 dicembre 2010</w:t>
      </w:r>
    </w:p>
    <w:p>
      <w:pPr>
        <w:pStyle w:val="Heading2"/>
      </w:pPr>
      <w:r>
        <w:t>Erwägungen</w:t>
      </w:r>
    </w:p>
    <w:p>
      <w:r>
        <w:rPr>
          <w:b/>
        </w:rPr>
        <w:t>E. 2</w:t>
      </w:r>
    </w:p>
    <w:p>
      <w:r>
        <w:t>a) Les parties se sont séparées en février 2005 et n'ont plus repris la vie commune depuis lors. Par prononcé de mesures protectrices de l'union conjugale du 8 août 2006 - confirmant le prononcé urgent rendu le 31 mars 2005 -, B.D.________ a été astreint à contribuer à l'entretien de son épouse et de sa fille par le régulier versement d'une pension mensuelle de Fr. 1'700.-, allocations familiales en sus. Le 26 novembre 2007, B.D.________ a formé une requête de mesures provisionnelles concluant à l'indépendance économique des parties par l'application du principe du "clean-break". b) B.D.________ a ouvert action en divorce par demande unilatérale déposée le 30 novembre 2007, prenant, avec dépens, les conclusions suivantes: "I.Le mariage des époux B.D.________ et A.D.________ célébré le [...] 1990 à Lausanne est dissous par le divorce. II. L'autorité parentale et la garde sur C.D.________, née le [...] 1991, sont attribuées à A.D.________. III. B.D.________ disposera d'un libre et large droit de visite qui s'exercera, à défaut d'accord, à raison d'un soir par</w:t>
      </w:r>
    </w:p>
    <w:p>
      <w:r>
        <w:t>- 3 - semaine, un week-end sur deux, ainsi que pendant la moitié des vacances scolaires. IV. B.D.________ versera à A.D.________ au titre de contribution à l'entretien de l'enfant, C.D.________, née le [...] 1991, par mois et d'avance, allocations familiales non comprises, la somme de CHF 500.- jusqu'à la majorité ou l'indépendance financière. V. Les prestations de libre passage LPP accumulées par les parties durant le mariage seront partagées conformément à la loi. VI. Le régime matrimonial des parties sera liquidé selon des précisions à apporter en cours d'instance. " Dans sa réponse déposée le 11 janvier 2008, l'épouse défenderesse a conclu, avec suite de frais et dépens, à ce qu'il plaise au tribunal de céans prononcer : "I. Que les époux D.________ sont séparés de corps; II. Que l'autorité parentale et la garde de l'enfant C.D.________, née le [...] 1991, sont confiées à sa mère, la défenderesse; III. Que le défendeur disposera d'un droit de visite sur l'enfant C.D.________, qui sera fixé à dire de justice; IV. Que le défendeur contribuera à l'entretien de sa fille par le versement d'une contribution de Fr. 650.- par mois, allocations familiales en sus, jusqu'à l'indépendance financière de C.D.________; V. Que le demandeur contribuera à l'entretien de son épouse par le versement d'une contribution mensuelle en sa faveur, payable d'avance, le premier de chaque mois, d'un montant de Fr. 1'000.-; VI. Que les époux sont séparés de biens; VII. Qu'il n'y a pas lieu à partage des prestations de sortie LPP, accumulées durant le mariage." Dans ses déterminations des 22 et 31 janvier 2008, le demandeur a confirmé ses conclusions du 30 novembre 2007 et conclu, avec dépens, au rejet des conclusions reconventionnelles prises par la défenderesse dans sa réponse du 11 janvier 2008. Par prononcé du 11 février 2008, rejetant les conclusions de la requête de mesures provisionnelles formée par B.D.________, la contribution d'entretien a été maintenue à Fr. 1700.-; l'application du principe du "clean-break" apparaissait prématurée au regard des circonstances de l'espèce.</w:t>
      </w:r>
    </w:p>
    <w:p>
      <w:r>
        <w:t>- 4 - La présidente du tribunal de céans a rendu une ordonnance sur preuves à l'audience préliminaire du 11 avril 2008; cette ordonnance a été complétée les 2 juin 2008, 23 novembre 2009 et 13 janvier 2010. Les 2 et 28 juillet 2009, la défenderesse, puis le demandeur ont accepté la liquidation du régime matrimonial telle que proposée par l'expert. Par acte formé le 7 janvier 2010, le demandeur a retiré ses conclusions II, III, IV - l'enfant C.D.________ ayant atteint l'âge de la majorité – ainsi que VI et confirmé au demeurant les conclusions I et V. Par des "conclusions motivées" déposées au tribunal le 7 janvier 2010, la défenderesse a déclaré adhérer au principe du divorce, renonçant ainsi aux conclusions I et VIII prises dans sa réponse du 11 janvier 2008. Elle a en outre relevé que les conclusions II et III relatives à l'autorité parentale, la garde et le droit de visite sur l'enfant C.D.________ étaient devenues sans objet. Enfin l'épouse a confirmé ses conclusions IV et V, puis ajouté une conclusion VI, nouvelle, tendant au partage des prestations de sortie acquises par les époux durant le mariage. c) L'audience de jugement s’est tenue le 14 janvier 2010, en présence des parties, toutes deux assistées. A cette occasion, un témoin a été entendu par le tribunal. A dite audience, les parties ont confirmé conclure au divorce et ont passé la convention partielle suivante: I. Le régime matrimonial peut être dissous et liquidé, vu la liquidation du régime matrimonial proposée par l'expert et acceptée par les époux les 2 et 28 juillet 2009. II. Les parties s'accordent pour équilibrer les prestations LPP en application de l'article 122 CC; elles préciseront le montant et les coordonnées exactes des comptes concernés dans un avenant. III. Sous réserve de l'accord de C.D.________, B.D.________ contribuera à l'entretien de sa fille par le versement, en mains de celle-ci, d'un montant de Fr. 500.- (cinq cents francs) par mois, payable d'avance, allocations familiales en sus. Cette contribution d'entretien sera due tant que les conditions de l'article 277, alinéa 2 CC seront remplies. Les parties ont modifié leur convention partielle du 14 janvier 2010 par un avenant du 27 mai 2010 ainsi libellé : I. Parties, A.D.________, et B.D.________, requièrent de Mme la Présidente du Tribunal civil de l’arrondissement de Lausanne de donner ordre à la [...], deuxième pilier, de B.D.________, de verser sur le compte de libre passage, ouvert auprès de [...] en faveur de Mme A.D.________, le montant de Fr. 50'636.35 (cinquante mille six cent trente-six francs et trente-cinq centimes) en application de l’art. 122 CC.</w:t>
      </w:r>
    </w:p>
    <w:p>
      <w:r>
        <w:t>- 5 - Il est précisé que le compte de B.D.________ est le n° [...], et que les avoirs de prévoyance professionnelle de Mme A.D.________ sont déposés sur une police de libre passage n° [...], ouvert auprès de [...]. Dite convention partielle et son avenant seront ratifiés dans le dispositif du présent jugement pour en faire partie intégrante. La tentative de conciliation concernant la contribution d'entretien en faveur de la défenderesse n'a pas abouti, de sorte que, s'agissant des effets du divorce, seule cette question reste litigieuse.</w:t>
      </w:r>
    </w:p>
    <w:p>
      <w:r>
        <w:rPr>
          <w:b/>
        </w:rPr>
        <w:t>E. 3</w:t>
      </w:r>
    </w:p>
    <w:p>
      <w:r>
        <w:t>a) Seuls demeurent litigieux dans cette procédure de divorce, le principe et le montant d'une contribution d'entretien due par l'intimé en faveur de la recourante. Celle-ci soutient que, contrairement à ce qu'ont considéré les premiers juges, il est établi qu'elle est durablement atteinte dans sa santé et n'est pas en mesure d'assumer son entretien par le produit de son travail.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w:t>
      </w:r>
    </w:p>
    <w:p>
      <w:r>
        <w:t>- 10 - l'art. 125 al. 2 ch. 1 à 8 CC (ATF 132 III 598 c. 9.1; ATF 129 III 7; FamPra.ch 2003, p. 169; ATF 128 III 257; ATF 127 III 136 c. 2a, rés. JT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Selon la jurisprudence, une contribution d'entretien est due si le mariage a concrètement influencé la situation financière de l'époux crédirentier ("lebensprägend").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 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certaines circonstances, le concubinage antérieur peut être pris en considération; ATF 132 III 598 c. 9.2). Dans ces derniers cas, il existe une présomption de fait respectivement de l'absence ou de l'existence d'un impact décisif du mariage sur la vie des époux (Pichonnaz/Rumo-Jungo, op. cit., p. 56 et références). A cet égard, est décisive la durée du mariage jusqu'à la</w:t>
      </w:r>
    </w:p>
    <w:p>
      <w:r>
        <w:t>- 11 - séparation effective (ATF 132 III 598 c. 9.2; ATF 127 III 136 c. 2c; FamPra.ch 2007, p. 146 et références; Bastons 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L'état de santé des époux doit être pris en considération, conformément à l'art. 125 al. 2 ch. 4 CC. Selon la jurisprudence, le seul fait que l'un des conjoints ne soit pas, ou ne soit que partiellement, en mesure d'exercer une activité lucrative en raison de son état de santé, ne constitue pas en soi une raison d'allouer une contribution d'entretien. Il faut en outre que le mariage ait créé une position de confiance de l’époux malade, qui ne saurait être déçue même après le divorce. Il en est ainsi, par exemple, lorsque l'union a duré vingt ans et que plusieurs enfants en sont issus. Dans ce cas, l'état de santé est pris en considération indépendamment de savoir s'il est en lien avec le mariage (TF 5C.169/2006 du 13 septembre 2006 c. 2.6, publié in FamPra.ch 2007, p. 146). c) En l'espèce, force est de constater qu'aux dires de son médecin traitant, qui la suit depuis plusieurs années, la recourante est atteinte dans sa santé (diabète, migraines, dépression) et ne dispose pas d'une capacité de travail entière. A l'âge de 57 ans, ses perspectives de trouver un emploi sont réduites, ce d'autant qu'elle ne dispose d'aucune formation. Elle bénéficie d'ailleurs du revenu d'insertion depuis 2009, alors même que le fait qu'elle ait travaillé en qualité de nettoyeuse et qu'elle ait effectué un stage d'aide soignante dans un EMS démontre qu'elle ne craint pas les emplois pénibles. Ce sont des problèmes de santé qui sont venus l'entraver dans sa démarche de reconversion professionnelle, qui apparaît incertaine à ce jour, aux dires de l'Office régional de placement. L'on ne peut ainsi faire le reproche à la recourante de n'avoir pas tenté une reconversion professionnelle et l'on ne saurait retenir, à titre de capacité</w:t>
      </w:r>
    </w:p>
    <w:p>
      <w:r>
        <w:t>- 12 - de gain hypothétique, le revenu de 2'382 fr. 50 réalisé en 2007, comme dans le jugement attaqué. En conséquence, la recourante peut prétendre à une contribution d'entretien au sens de l'art. 125 al. 1 CC dont il convient de déterminer la quotité. Le recours doit donc être admis sur ce point.</w:t>
      </w:r>
    </w:p>
    <w:p>
      <w:r>
        <w:rPr>
          <w:b/>
        </w:rPr>
        <w:t>E. 4</w:t>
      </w:r>
    </w:p>
    <w:p>
      <w:r>
        <w:t>p. 146), qui constitue la limite supérieure de l'entretien convenable (TF 5A_214/2009 du 27 juillet 2009 c. 3.2, reproduit in FamPra 2009 p. 1051). Toutefois, l'entretien dû pendant le mariage et l'entretien post-divorce ne sont pas équivalents. Il importe de prendre en compte toutes les circonstances particulières du cas d'espèce, et non pas d'appliquer automatiquement la méthode de calcul du minimum vital avec partage par moitié de l'excédent (TF 5A_434/2008 du 5 septembre 2008, partiellement traduit in SJ 2009 I 449). Cette jurisprudence a été nuancée (ATF 134 III 577, JT 2009 I 272, Audrey Leuba, Chroniques, Droit des personnes et de la famille in JT 2009 I 99, spéc. 105)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b) Les premiers juges ont retenu qu'un montant mensuel de 2'125 fr. permettrait à la recourante de maintenir son train de vie et ne lui ont dès lors pas alloué de pension. Leurs calculs méconnaissent toutefois le fait que, désormais, chaque époux a des charges propres, dont le montant total est nécessairement plus élevé que la moitié des charges globales durant la vie commune, sous déduction de l'entretien de l'enfant. La décision de mesures provisionnelles du 11 février 2008 a dûment tenu compte de cet état de fait, puisqu'en appliquant la méthode du minimum</w:t>
      </w:r>
    </w:p>
    <w:p>
      <w:r>
        <w:t>- 14 - vital avec répartition des excédents, une contribution mensuelle d'entretien de 1'700 fr. a été allouée en faveur de la recourante et de son enfant. c) Le mariage a duré une quinzaine d'années et la répartition des tâches entre époux a été traditionnelle. Les avoirs de prévoyance professionnelle ont été égalisés et les époux n'ont que peu de fortune. Si on ne peut pas exclure l'éventualité que la recourante retrouve un emploi, cela est peu probable, alors qu'elle devra continuer à assumer une part de l'entretien de sa fille étudiante, tandis que l'intimé fait ménage commun avec son amie dans le logement dont celle-ci est propriétaire. Les parties n'ont pas amené d'autres éléments sur leurs charges que ceux qui résultent de l'ordonnance de mesures provisionnelles du 11 février 2008, à laquelle il y a lieu de se référer dans la mesure où aucune des parties n'a prétendu que ces montants ne seraient plus d'actualité. Il n'y a pas lieu de tenir compte des charges d'impôt compte tenu de la situation financière serrée des parties. Dès lors, le minimum vital de la recourante – étant entendu qu'il n'y a pas lieu de tenir compte des charges pour l'enfant C.D.________ –, s'établit comme il suit : - montant de base : 1'200 fr. - loyer charges comprises : 739 fr. - assurance-maladie : 431 fr. Total : 2'370 fr. Le minimum vital de l'intimé s'établit quant à lui de la manière suivante : - montant de base pour adulte en couple : 850 fr. - loyer (moitié) : 850 fr. - assurance-maladie : 218 fr. - frais de transport : 300 fr. - contribution pour l'entretien de l'enfant C.D.________ : 500 fr.</w:t>
      </w:r>
    </w:p>
    <w:p>
      <w:r>
        <w:t>- 15 - Total 2'718 fr. Le minimum vital de base doit être augmenté de 20 % (TF 5C 237/2006 du 10 janvier 2007 c. 2.4.1), soit de 170 francs. Le minimum vital élargi de l'intimé est donc de 2'888 francs. Compte tenu d'un gain mensuel de 4'142 fr., il subsiste une marge de 1'254 francs. La recourante réclame une pension mensuelle de 1'000 fr. et, en vertu de la maxime des débats, il n'y a pas lieu de lui allouer plus même si son déficit est supérieur à ce montant (art. 3 CPC-VD). Le minimum vital de l'intimé permet de lui servir une telle pension et d'assurer à ce dernier une marge de 245 francs. Une contribution d'entretien mensuelle de 1'000 fr. doit donc être allouée à la recourante. Celle-ci sera due jusqu'à l'âge de sa retraite, soit jusqu'en juillet 2016. Cela étant, la question de savoir si un revenu hypothétique peut être imputé à la recourante n'est pas déterminante. En effet, un tel gain ne saurait, au vu de la situation de la recourante, être supérieur à 1'500 fr. de sorte que son minimum vital demeurerait non couvert. Le recours doit donc être admis sur ce point.</w:t>
      </w:r>
    </w:p>
    <w:p>
      <w:r>
        <w:rPr>
          <w:b/>
        </w:rPr>
        <w:t>E. 5</w:t>
      </w:r>
    </w:p>
    <w:p>
      <w:r>
        <w:t>En conclusion, le recours de A.D.________ doit être admis et le jugement réformé en ce sens qu'une contribution d'entretien mensuelle de 1'000 fr. lui est allouée jusqu'à l'âge de la retraite. Les frais de deuxième instance de la recourante sont arrêtés à 300 francs (art. 233 al. 1 du tarif du 4 décembre 1984 des frais judiciaires en matière civile; RSV 270.11.5). Le recourant versera à la recourante la somme de 2'100 fr. à titre de dépens de deuxième instance (art 92 CPC-VD).</w:t>
      </w:r>
    </w:p>
    <w:p>
      <w:r>
        <w:t>- 16 - Par ces motifs, la Chambre des recours du Tribunal cantonal, statuant à huis clos, prononce : I. Le recours est admis. II. Le jugement est réformé au chiffre VII de son dispositif et est complété par un chiffre Ibis comme il suit : Ibis. dit que B.D.________ doit contribuer à l'entretien de A.D.________, par le versement d'une pension mensuelle de 1'000 fr. (mille francs), payable d'avance le premier de chaque mois en mains de celle-ci dès jugement définitif et exécutoire, jusqu'au mois de juillet 2016 compris. VII. dit que le demandeur B.D.________ doit verser à la défenderesse A.D.________, la somme de 3'600 francs (trois mille six cents francs) à titre de dépens. Le jugement est confirmé pour le surplus. III. Les frais de deuxième instance de la recourante sont arrêtés à 300 fr. (trois cents francs). IV. L'intimé B.D.________ doit verser à la recourante A.D.________, la somme de 2'100 fr. (deux mille cent francs) à titre de dépens de deuxième instance. V: L'arrêt motivé est exécutoire.</w:t>
      </w:r>
    </w:p>
    <w:p>
      <w:r>
        <w:t>- 17 - Le président : La greffière : Du 17 décembre 2010 Le dispositif de l'arrêt qui précède est communiqué par écrit aux intéressés. La greffière : Du L'arrêt qui précède, dont la rédaction a été approuvée à huis clos, est notifié en expédition complète, par l'envoi de photocopies, à : - Me Michel Dupuis (pour A.D.________), - Me Filippo Ryter (pour B.D.________).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- 18 -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