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TM13.008113 vom 9. April 2013</w:t>
      </w:r>
    </w:p>
    <w:p>
      <w:r>
        <w:t>VD Tribunal cantonal, 2013-04-09, FR</w:t>
      </w:r>
    </w:p>
    <w:p>
      <w:r>
        <w:rPr>
          <w:b/>
        </w:rPr>
        <w:t xml:space="preserve">Quelle: </w:t>
      </w:r>
      <w:r>
        <w:t>https://mcp.opencaselaw.ch/entscheid/vd_gerichte_TM13.008113</w:t>
      </w:r>
    </w:p>
    <w:p>
      <w:r>
        <w:t>FR: VD_GERICHTE TM13.008113 du 9 avril 2013</w:t>
      </w:r>
    </w:p>
    <w:p>
      <w:r>
        <w:t>IT: VD_GERICHTE TM13.008113 del 9 aprile 2013</w:t>
      </w:r>
    </w:p>
    <w:p>
      <w:pPr>
        <w:pStyle w:val="Heading2"/>
      </w:pPr>
      <w:r>
        <w:t>Erwägungen</w:t>
      </w:r>
    </w:p>
    <w:p>
      <w:r>
        <w:rPr>
          <w:b/>
        </w:rPr>
        <w:t>E. 6</w:t>
      </w:r>
    </w:p>
    <w:p>
      <w:r>
        <w:t>Le recours doit en conséquence être admis et les ordonnances réformées, en ce sens que le chiffre Il de leur dispositif est supprimé. La recourante ayant été dispensée de fournir une avance de frais, en application de l'art. 112 al. 1 CPC, et vu l'issue du recours, le présent arrêt peut être rendu sans frais (art. 11 TFJC (tarif des frais judiciaires civils du 28 septembre 2010; RSV 270.11.5). La recourante ayant agi sans l’assistance d’un mandataire professionnel, il n’y a pas matière à l’allocation de dépens. Vu ce qui précède, la requête d’assistance judiciaire est sans objet. Par ces motifs, la Chambre des recours civile du Tribunal cantonal, statuant à huis clos, prononce : I. Les recours sont admis. II. Les ordonnances sont réformées, en ce sens que le chiffre II de leur dispositif est supprimé; elles sont maintenues pour le surplus. III. La requête d'assistance judiciaire est sans objet.</w:t>
      </w:r>
    </w:p>
    <w:p>
      <w:r>
        <w:t>- 10 - IV. L'arrêt motivé, rendu sans frais ni dépens, est exécutoire. Le vice-président : Le greffier : Du 10 avril 2013 Le dispositif de l'arrêt qui précède est communiqué par écrit aux intéressés. Le greffier : Du L'arrêt qui précède, dont la rédaction a été approuvée à huis clos, est notifié en expédition complète, par l'envoi de photocopies, à : - U.________, - Me Calabria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