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TM12.044692 vom 2. April 2013</w:t>
      </w:r>
    </w:p>
    <w:p>
      <w:r>
        <w:t>VD Tribunal cantonal, 2013-04-02, FR</w:t>
      </w:r>
    </w:p>
    <w:p>
      <w:r>
        <w:rPr>
          <w:b/>
        </w:rPr>
        <w:t xml:space="preserve">Quelle: </w:t>
      </w:r>
      <w:r>
        <w:t>https://mcp.opencaselaw.ch/entscheid/vd_gerichte_TM12.044692</w:t>
      </w:r>
    </w:p>
    <w:p>
      <w:r>
        <w:t>FR: VD_GERICHTE TM12.044692 du 2 avril 2013</w:t>
      </w:r>
    </w:p>
    <w:p>
      <w:r>
        <w:t>IT: VD_GERICHTE TM12.044692 del 2 aprile 2013</w:t>
      </w:r>
    </w:p>
    <w:p>
      <w:pPr>
        <w:pStyle w:val="Heading2"/>
      </w:pPr>
      <w:r>
        <w:t>Erwägungen</w:t>
      </w:r>
    </w:p>
    <w:p>
      <w:r>
        <w:rPr>
          <w:b/>
        </w:rPr>
        <w:t>E. 3</w:t>
      </w:r>
    </w:p>
    <w:p>
      <w:r>
        <w:t>L’appelant invoque la violation de son droit d’être entendu qui résulterait de ce que le premier juge n’aurait pas motivé sa considération portant sur le refus de l’allocation de sûretés au sens de l’art. 264 CPC. Le premier juge a estimé à cet égard qu’en l’espèce, rien ne justifiait l’octroi de sûretés.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(TF 2C_724/2012 du 25 juillet 2012 c. 5.1 ; ATF 137 II 266 c. 3.2 ; ATF 136 I 229 c. 5.2). La motivation du premier juge est certes très succincte. Elle n’a toutefois pas empêché l’appelant de se rendre compte de la portée de celle-ci et de l’attaquer en connaissance de cause, comme cela découle de l’acte d’appel (p. 10). Au demeurant, selon la jurisprudence, la violation du droit d’être entendu — pour autant qu’elle ne soit pas d’une gravité particulière — peut être réparée lorsque la partie lésée a la possibilité de s’exprimer devant une autorité de recours jouissant d’un plein pouvoir d’examen (ATF 126 V 130 c. 2b). Compte tenu du fait que l’appelant a pu s’exprimer de manière complète devant le juge de céans, qui dispose d’un plein pouvoir d’examen en fait et en droit dans la procédure provisionnelle, le vice serait de toute manière guéri par l’examen, en instance d’appel, de l’ensemble des questions soulevées (voir ci-après c. 6).</w:t>
      </w:r>
    </w:p>
    <w:p>
      <w:r>
        <w:t>- 8 - Le moyen est mal fondé.</w:t>
      </w:r>
    </w:p>
    <w:p>
      <w:r>
        <w:rPr>
          <w:b/>
        </w:rPr>
        <w:t>E. 4</w:t>
      </w:r>
    </w:p>
    <w:p>
      <w:r>
        <w:t>L’appelant fait valoir une constatation inexacte des faits. Comme déjà mentionné, l’instance d’appel dispose d’un plein pouvoir d’examen de la cause en fait et en droit, même en matière provisionnelle. Dans la mesure où le juge d’appel a établi les faits en tenant compte de l’ordonnance complétée par le dossier de première instance et des pièces produites recevables en appel et qu’il contrôle librement l’appréciation des preuves effectuée par le juge de première instance (art. 157 CPC en relation avec l’art. 310 let. b CPC), que la cause soit soumise à la maxime des débats ou à la maxime inquisitoire (cf. ATF 138 III 374 c. 4.3.1), le moyen de l’appelant s’avère mal fondé.</w:t>
      </w:r>
    </w:p>
    <w:p>
      <w:r>
        <w:rPr>
          <w:b/>
        </w:rPr>
        <w:t>E. 5</w:t>
      </w:r>
    </w:p>
    <w:p>
      <w:r>
        <w:t>L’appelant invoque la violation de l’art. 261 CPC. Il reproche à l'intimé, en substance, de ne pas avoir rendu vraisemblable l'existence de son droit, ni sa violation, ni le risque d'un préjudice difficilement réparable et tient la mesure pour disproportionnée. a) 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L’art. 261 al. 1 CPC pose des conditions cumulatives à l’octroi de mesures provisionnelles. aa) Le motif qui justifie la mesure requise doit être examiné en premier lieu ; il faut une mise en danger ou une violation effective d’une prétention risquant de causer à son titulaire un préjudice difficilement réparable et impliquant une urgence temporelle. Le préjudice envisagé doit être objectivement vraisemblable, une erreur d’appréciation</w:t>
      </w:r>
    </w:p>
    <w:p>
      <w:r>
        <w:t>- 9 - n’étant pas totalement exclue. Par préjudice, on entend par exemple l’atteinte à l’exercice de droits absolus. Peu importe que l’atteinte puisse être réparée par une somme d’argent. Même un dommage immatériel imminent ou qui est difficile à évaluer ou à démontrer, ou encore des difficultés d’exécution d’une décision, en font partie. Il faut en outre que la prétention matérielle mise apparemment en danger ou déjà violée soit vraisemblable, de sorte que le requérant est tenu de rendre vraisemblable la légitimité de sa demande principale (Message du Conseil fédéral relatif au code de procédure civile suisse, FF 2006, p. 6841 ss, spéc. 6961 ; Bohnet, CPC commenté, Bâle 2011, n. 7 ad art. 261 CPC).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 ab)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(TF 4A_611/2011 du 3 janvier 2012 c. 4.1 et les réf. citées, in RSPC 2012, p. 208, et la note de Dietschy). Un préjudice financier n’est en principe pas difficilement réparable, hormis les cas exceptionnels où il est susceptible d’entraîner la faillite de l’intéressé ou la perte de ses moyens</w:t>
      </w:r>
    </w:p>
    <w:p>
      <w:r>
        <w:t>- 10 - d’existence (Seiler, Die Berufung nach der Schweizerischen Zivilprozessordnung, Bâle 2011, n. 991 et les renvois). ac) Le risque de préjudice difficilement réparable suppose par ailleurs l’urgence (Bohnet, op. cit., n. 12 ad art. 261 CPC) ; de façon générale, il y a urgence chaque fois que le retard apporté à une solution provisoire met en péril les intérêts d’une des parties (HohI, La réalisation du droit et les procédures rapides, thèse d’habilitation, Fribourg 1994, n. 543). ad)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(cf. Bohnet, op. cit., n. 18 ad art. 261 CPC ; TF 4A_611/2011 précité c. 4.1 et les réf. citées ; ATF 131 III 473 c. 2.3 et 3.2). b) L'art. 5 LPers-VD prévoit que la politique du personnel, définie par le Conseil d'Etat, a notamment pour but de créer des conditions de travail adéquates pour favoriser l'engagement de collaborateurs compétents, promouvoir une formation continue, développer un environnement de travail propice à la motivation et à la mobilité professionnelle dans l'optique d'assurer des prestations efficaces et de qualité (al. 2 ) ; le Conseil d'Etat prend les mesures nécessaires à la protection de la santé et de la personnalité des collaborateurs, en particulier par des dispositions de lutte contre le harcèlement et le mobbing…(al. 3).</w:t>
      </w:r>
    </w:p>
    <w:p>
      <w:r>
        <w:t>- 11 - Selon l'art. 58 al. 1 let. b RLPers-VD, en cas d'absence pour cause de maladie ou d'accident constatée par certificat médical, le salaire est payé pour les collaborateurs engagés par contrat de durée indéterminée en entier pendant les douze premiers mois et au quatre cinquième pendant les trois mois suivants. L'alinéa 2 de cette disposition précise que dans tous les cas, le droit au salaire cesse dès la date à laquelle le collaborateur est reconnu définitivement invalide conformément aux dispositions de la LCP (Loi du 18 juin 1984 sur la Caisse de pensions de l'Etat de Vaud ; RSV 172.43). A teneur de l'art. 52 al. 2 LCP, est temporairement invalide l'assuré qui, incapable ensuite de maladie ou d'accident de remplir tout ou partie de sa fonction, voit son salaire réduit ou supprimé provisoirement. La procédure visant à déterminer si l'assuré est en droit de bénéficier d'une pension d'invalidité est décrite à l'art. 56 LCP qui prévoit qu'il appartient à la Caisse de statuer sur le droit de l'assuré à une pension d'invalidité (al. 4). c) ca) L’examen prima facie des dispositions précitées, auxquelles l'appelant se réfère dans son écriture, ne permet pas de considérer que le droit de l’intimé au versement d’un salaire ne serait pas rendu vraisemblable et que les conditions pour la suppression du droit au salaire de l’intimé seraient entièrement réalisées en l’état, comme le soutient l’appelant. En effet, d’une part, I’intimé est toujours engagé par l’Etat de Vaud, celui-ci paraissant reconnaître l'existence d’une incapacité fonctionnelle qui n’empêcherait pas son employé de travailler dans d’autres conditions. On ne peut donc inférer à première vue ni du dossier – en particulier des efforts consentis par l'appelant pour le transfert de l'intimé – ni des dispositions précitées que l’intimé n’aurait été engagé par l’appelant que pour fonctionner dans les conditions qui sont à l’origine de</w:t>
      </w:r>
    </w:p>
    <w:p>
      <w:r>
        <w:t>- 12 - son incapacité fonctionnelle, soit pour travailler avec le supérieur avec lequel il est en conflit. D’autre part, la CPEV ne semble pas avoir statué à ce jour sur le droit de l’assuré à une pension d’invalidité, au sens de l’art. 56 al. 4 LCP, la procédure prévue à l’art. 56 LCP ne paraissant pas avoir été engagée. Dans la mesure où la CPEV s'est limitée à déterminer le montant hypothétique du salaire que l'intimé toucherait si son invalidité était reconnue (cf. pièce 108), on ignore à ce stade si celui-ci remplit les conditions de l'art. 52 LCP et s'il pourrait percevoir des prestations au sens de cette disposition. Partant, l’intimé, qui est toujours engagé par l’appelant et qui semble capable de travailler dans d'autres conditions, comme paraît l'admettre son employeur, a rendu vraisemblable son droit au salaire à ce stade de la procédure. cb) En l'espèce, le préjudice que l’intimé subirait en cas de suppression de son salaire est irréparable, puisque le salaire qu’il touche actuellement, réduit à 80 % (4’029 fr. 25), paraît lui permettre de préserver son minimum vital, soit ses conditions d'existence et celles de sa famille, compte tenu de ses charges, ce qui ne serait pas le cas si son salaire venait à être supprimé, dès lors qu’il ne peut prétendre, en l’état, à une prestation fondée sur la LCP comme exposé ci-avant. cc) Dans ces conditions, on ne voit pas en quoi l’admission de la requête d’effet suspensif par le premier juge constituerait une mesure disproportionnée, la pesée des intérêts en présence commandant de maintenir, en l'état, le droit au salaire actuel du requérant pour préserver ses conditions d'existence et celles de sa famille dès lors que la procédure au sens de l’art. 56 LCP ne paraît pas avoir été engagée et que l'intimé ne peut bénéficier d'indemnités de l'assurance-chômage. Mal fondé, le moyen de l'appelant doit être rejeté.</w:t>
      </w:r>
    </w:p>
    <w:p>
      <w:r>
        <w:t>- 13 -</w:t>
      </w:r>
    </w:p>
    <w:p>
      <w:r>
        <w:rPr>
          <w:b/>
        </w:rPr>
        <w:t>E. 6</w:t>
      </w:r>
    </w:p>
    <w:p>
      <w:r>
        <w:t>L'appelant conclut subsidiairement à ce que le jugement soit modifié en ce sens que l'intimé soit astreint à fournir des sûretés d'un montant fixé par le tribunal. Aux termes de l'art. 264 al. 1 CPC, le tribunal peut astreindre le requérant à fournir des sûretés si les mesures provisionnelles risquent de causer un dommage à la partie adverse. L'exigence de sûretés dépend des circonstances de l'espèce. Elles supposent, comme l'octroi des mesures elles-mêmes, une pesée des intérêts en jeu et se fondent sur la vraisemblance du dommage. Il se justifie d'y renoncer lorsque les mesures provisionnelles requises n'ont pas d'autre but que le maintien d'une situation conforme au droit. Plus le droit du requérant paraît fondé moins le dépôt de sûretés ne se justifie (Bohnet, op. cit., n° 4 ad art. 264 CPC). En l'espèce, tant les circonstances fondant le droit du requérant que la pesée des intérêts en jeu (c. 5c ci-avant) justifient de renoncer à astreindre le requérant à fournir des sûretés au sens de l'art. 264 al. 1 CPC. Aussi, on ne saurait considérer qu'en l'état, les mesures provisionnelles auraient un autre but que le maintien d'une situation conforme au droit.</w:t>
      </w:r>
    </w:p>
    <w:p>
      <w:r>
        <w:rPr>
          <w:b/>
        </w:rPr>
        <w:t>E. 7</w:t>
      </w:r>
    </w:p>
    <w:p>
      <w:r>
        <w:t>Au vu de ce qui précède, il y a lieu de rejeter l’appel en application de l'art. 312 al. 1 CPC. Le dispositif du jugement attaqué est réformé en ce sens que le ch. Il est caduc, dès lors que l’intimé a déposé sa demande dans l'intervalle ; il est maintenu pour le surplus. Les frais judiciaires de deuxième instance, arrêtés à 800 fr. (art. 16 al. 7 LPers-VD ; art. 65 al. 1 et 67 al. 3 TFJC a contrario [Tarif des frais judiciaires civils du 28 septembre 2010 ; RSV 270.11.5]) sont mis à la charge de l’appelant qui succombe (art. 106 al. 1 CPC). Il n'y pas lieu à l'allocation de dépens, l'intimé n'ayant pas été invité à se déterminer.</w:t>
      </w:r>
    </w:p>
    <w:p>
      <w:r>
        <w:t>- 14 - Par ces motifs, la juge déléguée de la Cour d’appel civile du Tribunal cantonal, statuant à huis clos, en application de l'art. 312 al. 1 CPC, prononce : I. L'appel est rejeté. II. Le jugement est réformé comme suit : II. (supprimé) Le jugement est confirmé pour le surplus. III. Les frais judiciaires de deuxième instance, arrêtés à 800 fr. (huit cents francs), sont mis à la charge de l'appelant Etat de Vaud.</w:t>
      </w:r>
    </w:p>
    <w:p>
      <w:r>
        <w:t>- 15 - IV. L'arrêt motivé est exécutoire. La juge déléguée : Le greffier : Du 3 avril 2012 Le dispositif de l'arrêt qui précède est communiqué par écrit aux intéressés. Le greffier : Du L'arrêt qui précède, dont la rédaction a été approuvée à huis clos, est notifié en expédition complète, par l'envoi de photocopies, à : - Service du personnel (pour l'Etat de Vaud) - Me Patrick Mangold (pour Y.________). La juge déléguée de la Cour d’appel civile considère que la valeur litigieuse est supérieure à 15'000 francs. Le présent arrêt peut faire l’objet d’un recours en matière de droit public devant le Tribunal fédéral au sens des articles 82 et suivants de la loi du 17 juin 2005 sur le Tribunal fédéral (LTF – RS 173.110) dans la mesure où en matière de rapport de service, la valeur litigieuse dépasse 15'000 fr. (art. 85 al. 1 let. b LTF), cas échéant d’un recours constitutionnel</w:t>
      </w:r>
    </w:p>
    <w:p>
      <w:r>
        <w:t>- 16 - subsidiaire au sens des articles 113 et suivants LTF. Ces recours doivent être déposés devant le Tribunal fédéral dans les trente jours qui suivent la notification de l’expédition complète (art. 100 al. 1er LTF). Cet arrêt est communiqué, par l'envoi de photocopies, à : - Mme la Présidente du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