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TM09.001075 vom 3. September 2009</w:t>
      </w:r>
    </w:p>
    <w:p>
      <w:r>
        <w:t>VD Tribunal cantonal, 2009-09-03, FR</w:t>
      </w:r>
    </w:p>
    <w:p>
      <w:r>
        <w:rPr>
          <w:b/>
        </w:rPr>
        <w:t xml:space="preserve">Quelle: </w:t>
      </w:r>
      <w:r>
        <w:t>https://mcp.opencaselaw.ch/entscheid/vd_gerichte_TM09.001075</w:t>
      </w:r>
    </w:p>
    <w:p>
      <w:r>
        <w:t>FR: VD_GERICHTE TM09.001075 du 3 septembre 2009</w:t>
      </w:r>
    </w:p>
    <w:p>
      <w:r>
        <w:t>IT: VD_GERICHTE TM09.001075 del 3 settembre 2009</w:t>
      </w:r>
    </w:p>
    <w:p>
      <w:pPr>
        <w:pStyle w:val="Heading2"/>
      </w:pPr>
      <w:r>
        <w:t>Erwägungen</w:t>
      </w:r>
    </w:p>
    <w:p>
      <w:r>
        <w:rPr>
          <w:b/>
        </w:rPr>
        <w:t>E. 2</w:t>
      </w:r>
    </w:p>
    <w:p>
      <w:r>
        <w:t>Après leur mariage, les parties ont vécu en Grèce puis se sont installées en Suisse, à [...] dans le canton de Berne. Suite à des difficultés conjugales, elles se sont séparées au mois d’avril 1999 et le requérant a ensuite quitté la Suisse pour s’établir en Grèce. Pour sa part, l’intimée est demeurée en Suisse avec l’enfant B.M.________. Elle est aujourd'hui domiciliée à [...].</w:t>
      </w:r>
    </w:p>
    <w:p>
      <w:r>
        <w:rPr>
          <w:b/>
        </w:rPr>
        <w:t>E. 3</w:t>
      </w:r>
    </w:p>
    <w:p>
      <w:r>
        <w:t>En date du 16 juillet 1999, A.M.________ a déposé une demande en divorce par devant le Tribunal de première instance à Athènes. La procédure de divorce des parties devant les autorités grecques est toujours pendante à l’heure actuelle. Le 27 avril 2000, l’intimée a également déposé de son côté une demande en divorce par devant le Tribunal de l’arrondissement de Thoune. Par jugement du 18 juin 2001, cette dernière autorité a suspendu la cause introduite par l’intimée en raison de la litispendance internationale. En date du 16 novembre 2001, elle a cependant rendu un jugement de mesures provisionnelles réglant le droit de garde, le droit de visite et la contribution d’entretien. Le 6 novembre 2000, le requérant a ouvert action devant le Tribunal de première instance d'Athènes pour que soit tranchée séparément, comme le prévoit le droit grec, la question spécifique des droits parentaux relatifs à B.M.________. Un jugement a été rendu le 23 février 2006, mais l'exequatur en Suisse a été refusée.</w:t>
      </w:r>
    </w:p>
    <w:p>
      <w:r>
        <w:t>- 3 -</w:t>
      </w:r>
    </w:p>
    <w:p>
      <w:r>
        <w:rPr>
          <w:b/>
        </w:rPr>
        <w:t>E. 4</w:t>
      </w:r>
    </w:p>
    <w:p>
      <w:r>
        <w:t>En conclusion, le recours doit être rejeté et le jugement entrepris confirmé. Les frais de deuxième instance du recourant sont arrêtés à 300 fr. (art. 233 TFJC [tarif du 4 décembre 1984 des frais judiciaires en matière civile; RSV 270.11.5]). L'intimée, qui obtient gain de cause, a droit à des dépens de deuxième instance, fixés à 1'000 fr. (art. 91 et 92 CPC; art. 2 al. 1 ch. 33, art. 3 et 5 ch. 2 TAv [tarif du 17 juin 1986 des honoraires d'avocat dus à titre de dépens; RSV 177.11.3]). Par ces motifs, la Chambre des recours du Tribunal cantonal, statuant à huis clos, prononce : I. Le recours est rejeté. II. Le jugement est confirmé. III. Les frais de deuxième instance du recourant sont arrêtés à 300 fr. (trois cents francs). IV. Le recourant, A.M.________, doit verser à l'intimée, F.________, la somme de 1'000 fr. (mille francs), à titre de dépens de deuxième instance. V. L'arrêt motivé est exécutoire.</w:t>
      </w:r>
    </w:p>
    <w:p>
      <w:r>
        <w:t>- 11 - Le président : La greffière : Du L'arrêt qui précède, dont la rédaction a été approuvée à huis clos, est notifié à : - Me Jacques Michod (pour A.M.________), - Me Jean-Paul Maire (pour F.________).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