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TL11.043138 vom 5. September 2016</w:t>
      </w:r>
    </w:p>
    <w:p>
      <w:r>
        <w:t>VD Tribunal cantonal, 2016-09-05, FR</w:t>
      </w:r>
    </w:p>
    <w:p>
      <w:r>
        <w:rPr>
          <w:b/>
        </w:rPr>
        <w:t xml:space="preserve">Quelle: </w:t>
      </w:r>
      <w:r>
        <w:t>https://mcp.opencaselaw.ch/entscheid/vd_gerichte_TL11.043138</w:t>
      </w:r>
    </w:p>
    <w:p>
      <w:r>
        <w:t>FR: VD_GERICHTE TL11.043138 du 5 septembre 2016</w:t>
      </w:r>
    </w:p>
    <w:p>
      <w:r>
        <w:t>IT: VD_GERICHTE TL11.043138 del 5 settembre 2016</w:t>
      </w:r>
    </w:p>
    <w:p>
      <w:pPr>
        <w:pStyle w:val="Heading2"/>
      </w:pPr>
      <w:r>
        <w:t>Erwägungen</w:t>
      </w:r>
    </w:p>
    <w:p>
      <w:r>
        <w:rPr>
          <w:b/>
        </w:rPr>
        <w:t>E. 12</w:t>
      </w:r>
    </w:p>
    <w:p>
      <w:r>
        <w:t>septembre 2007 par l’analyste comptable (let. C/2.5 supra), qui énumère les entrées de fonds provenant de conférences organisées par le défendeur pour la période 2000 à 2006 ; ces fonds s’élevaient au total à un montant de 4'049'265 fr. 95. C’est ensuite à juste titre que le Tribunal a examiné si le demandeur, à la date du courrier de son conseil du 5 octobre 2007, avait eu connaissance du dommage, au sens de la jurisprudence. La preuve de cette connaissance incombe au demeurant à celui qui invoque l’exception de prescription (ATF 111 II 55), soit à l’appelant. Dans la mesure où le Tribunal a de toute manière retenu que le délai d’un an dès la connaissance du dommage avait commencé à courir au plus tard à partir du 6 octobre 2007, cette date correspondant au</w:t>
      </w:r>
    </w:p>
    <w:p>
      <w:r>
        <w:t>- 23 - moment à partir duquel le demandeur était en mesure de connaître les circonstances propres à fonder et à motiver une demande en justice, ce qui n’est pas contesté par l’appelant, la question n’a pas à être examinée plus avant. On se limitera donc à cet égard à traiter, dans les considérants qui suivent, notamment la question de savoir si la prescription a été valablement interrompue dans la période déterminante allant du 5 octobre 2007 au 17 novembre 2008. 4. 4.1 La responsabilité des collectivités publiques cantonales, des fonctionnaires et des employés publics des cantons à l'égard des particuliers pour le dommage qu'ils causent dans l'exercice de leur charge est en principe régie par les art. 41 ss CO, mais les cantons sont libres de la soumettre au droit public cantonal en vertu des art. 59 al. 1 CC et 61 al. 1 CO (ATF 128 III 76 consid. 1a; ATF 127 III 248 consid. 1b; ATF 122 III 101 consid. 2 et les arrêts cités). Lorsque le canton adopte une réglementation, la responsabilité de la collectivité publique et de ses agents est donc soumise au droit public cantonal. Si celle-ci renvoie aux dispositions du Code des obligations, celui-ci s'applique à titre de droit cantonal supplétif (ATF 126 III 370 consid. 5). Le canton de Vaud a fait usage de cette faculté en édictant la LRECA. Cette loi règle la réparation des dommages causés illicitement ou en violation de devoirs de service dans l'exercice de la fonction publique cantonale ou communale (art. 1, 3 et 4 LRECA). A la différence du droit privé qui subordonne la responsabilité aquilienne à une faute (art. 41 CO), le texte de l'art. 4 LRECA n'exige, pour engager la responsabilité de l'Etat, qu'un acte objectivement illicite, un dommage et un lien de causalité entre l'un et l'autre (TF 4C.229/2000 du 27 novembre 2001, publié in SJ 2002 I 253, consid. 2b). L'art. 8 LRECA prévoit, en outre, que les dispositions du Code des obligations relatives aux obligations résultant d'actes illicites sont, au surplus, applicables par analogie à titre de droit cantonal supplétif (TF 4A_132/2014 du 2 juin 2014 consid. 2.2).</w:t>
      </w:r>
    </w:p>
    <w:p>
      <w:r>
        <w:t>- 24 - 4.2 L’art. 9 LRECA a la teneur suivante : « Celui qui, illicitement ou par une violation des devoirs de service, cause un dommage à l'Etat ou à une corporation communale, dont il est l'agent, est tenu à réparation, s'il a agi soit intentionnellement, soit par négligence ou imprudence graves (al. 1). La créance en dommages-intérêts se prescrit par un an dès le jour où l'organe compétent pour la faire valoir au nom de la corporation publique lésée a connu le dommage et son auteur et, dans tous les cas, par dix ans dès l'acte dommageable (al. 2). Toutefois, si l'acte dommageable peut être poursuivi pénalement pendant un délai de prescription plus long, c'est ce délai de prescription qui s'applique à la créance en dommages-intérêts contre la personne punissable (al. 3). » La teneur de l’art. 9 LRECA correspond à celle de l’art. 60 CO. 4.3 Le lésé connaît le dommage lorsqu’il apprend, touchant son existence, sa nature et ses éléments, les circonstances (non leur qualification juridique exacte) propres à fonder et à motiver une demande en justice ; la preuve de cette connaissance incombe à celui qui invoque l’exception de prescription (ATF 111 II 55). La notion de connaissance ne dépend pas, en soi, de l’existence d’un moyen de preuve ; toutefois, dans certaines circonstances exceptionnelles, lorsque le rapport de causalité naturelle ne peut être établi que par une expertise scientifique, le lésé n’aura une connaissance certaine de la personne responsable qu’à réception de cette expertise (ATF 131 III 61). Si l’ampleur du préjudice résulte d’une situation qui évolue, la prescription ne court pas avant le terme de l’évolution, laquelle constitue un tout, non la somme de préjudices distincts, autant du moins que la succession ne présente pas de solution de continuité (notamment ATF 112 II 118 ; ATF 89 II 402 ; ATF 109 II 418 ; ATF 93 II 498).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Cette règle vise essentiellement le préjudice consécutif à une atteinte à la santé de la</w:t>
      </w:r>
    </w:p>
    <w:p>
      <w:r>
        <w:t>- 25 - victime, quand il n'est pas possible d'en prévoir l'évolution avec suffisamment de certitude (ATF 112 II 118 consid. 4 p. 123). Pour que l'art. 60 al. 2 CO (prescription pénale plus longue) soit applicable, le comportement à l'origine du dommage doit réaliser les éléments constitutifs objectifs et subjectifs d'un acte punissable selon le droit cantonal ou fédéral. Le juge civil appliquera les règles du droit pénal; il est toutefois lié par une condamnation pénale, par un prononcé libératoire constatant l'absence d'acte punissable ou par une décision de suspension de la procédure pénale assortie des mêmes effets qu'un jugement quant à son caractère définitif. L'application de la prescription pénale plus longue suppose également que l'infraction visée soit en relation de causalité naturelle et adéquate avec le préjudice donnant lieu à l'action civile. Il faut de plus que le lésé fasse partie des personnes protégées par la loi pénale. Il s'agit là d'une conséquence de la théorie (objective) de l'illicéité prévalant en droit civil. L’art. 60 al. 2 CO ne s’applique pas, même temporairement, à l’auteur du dommage faisant l’objet d’une enquête pénale, si le prévenu fait ensuite l’objet d’un non- lieu (ordonnance de non-entrée en matière ou classement selon la terminologie du CPP), voire d’un acquittement (ATF 136 III 502). En l’espèce, au vu de l’ordonnance de non-lieu rendue s’agissant des infractions d’abus de confiance et de gestion déloyale en relation avec les gains accessoires réalisés par l’appelant pour la participation, comme organisateur ou conférencier, à des congrès internationaux, ou en tant que conseiller technique ou responsable de publication scientifique, l’art. 60 al. 2 CO ne s’applique pas, ce qui n’est du reste ni discuté ni remis en cause. 4.4 4.4.1 L’art. 138 al. 1 aCO a la teneur suivante : « La prescription interrompue par l’effet d’une action ou d’une exception recommence à courir, durant l’instance, à compter de chaque acte judiciaire des parties et de chaque ordonnance ou décision du juge ».</w:t>
      </w:r>
    </w:p>
    <w:p>
      <w:r>
        <w:t>- 26 - Conformément à cette disposition, la prescription est interrompue et un nouveau délai de prescription, de même durée que le précédent, recommence à courir, durant l'instance, le lendemain de chaque acte judiciaire des parties, de chaque ordonnance ou décision du juge (Pichonnaz, Commentaire romand, Code des obligations I, 2003, n. 8 ad art. 138 aCO). La notion d'acte judiciaire des parties, au sens de l'art. 138 al. 1 aCO, est une notion de droit fédéral (ATF 21 p. 246 ss, spéc. p. 250). On l'interprétera largement (ATF 106 II 32 consid. 3 p. 35 et les références), tout en ayant égard à la ratio legis de la disposition citée, qui est de sanctionner l'inaction du créancier (ATF 75 II 227 consid. 3c/aa p. 235). Selon la jurisprudence, il faut considérer comme acte judiciaire d'une partie, au sens de l'art. 138 al. 1 aCO, tout acte de procédure relatif au droit invoqué en justice et susceptible de faire progresser l'instance; l'acte devra être de nature formelle, de sorte que les deux parties puissent toujours le constater aisément et sans conteste (ATF 133 III 675 consid. 2.3.1; ATF 130 III 202 consid. 3.2 et les arrêts cités). Il n'est pas nécessaire, en revanche, contrairement à ce que pourrait donner à penser la formulation de l'arrêt publié aux ATF 85 II 187 consid. 2 p. 191, que l'acte judiciaire soit propre à rapprocher le procès de son issue (ATF 133 III 202 consid. 3.2). Est considérée comme une ordonnance ou décision du juge au sens de l’art. 138 CO toute décision de procédure ou de fond prise par un juge, et qui n’a pas un caractère purement interne (par ex. attribution du dossier à un juge rapporteur au Tribunal fédéral, même prise dans une décision formelle), à moins qu’elle soit notifiée aux parties. Interrompent notamment la prescription la décision présidentielle d’octroyer un effet suspensif à un recours, la communication d’une ordonnance de non-lieu lorsque le créancier s’est régulièrement constitué partie civile, la remise du dispositif ou la constatation de l’acquisition de l’autorité de chose jugée (Pichonnaz, op. cit., n. 6 et 7 ad art. 138 aCO).</w:t>
      </w:r>
    </w:p>
    <w:p>
      <w:r>
        <w:t>- 27 - 4.4.2 L’art. 138 al. 1 CO (entré en vigueur le 1er janvier 2011) a la nouvelle teneur suivante : « la prescription interrompue par l’effet d’une requête en conciliation, d’une action ou d’une exception recommence à courir lorsque la juridiction saisie clôt la procédure ». 4.5 Selon la jurisprudence constante, la constitution de partie civile au procès pénal (Adhäsionsklage)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à laquelle il prétend ou conclure à la constatation du fondement juridique de cette indemnité. L'auteur du dommage a un intérêt digne de protection à connaître la nature et l'importance de la créance invoquée contre lui (ATF 101 II 77 consid. 2a et les arrêts cités). 4.6 Le débiteur a la liberté de renoncer à invoquer la prescription déjà acquise (ATF 132 III 222 consid. 3.3.7 p. 240 ; ATF 99 II 185 consid. 2b p. 190 et les références). Encore faut-il, pour admettre l'existence d'une renonciation à la prescription, que le débiteur ait clairement manifesté, fût-ce de manière tacite, sa volonté de ne pas soulever l'exception de prescription (ATF 122 III 10 consid. 7; ATF 113 II 264 consid. 2e). Pareille renonciation ne doit pas être admise trop facilement. Il a été jugé que de simples offres transactionnelles formulées par le débiteur ou son assureur n'étaient pas suffisantes à cet égard (ATF 113 II 264 consid. 2e), non plus que des offres conditionnelles (ATF 122 III 10 consid. 7 p. 20). 5. 5.1 L’appelant fait tout d’abord valoir l’inexistence d’actes interruptifs de prescription intervenus entre le 5 octobre 2007 et le 17 novembre 2008, en ne remettant pas en cause l’application par les premiers juges de l’art. 138 aCO dans sa teneur en vigueur avant le 1er janvier 2011.</w:t>
      </w:r>
    </w:p>
    <w:p>
      <w:r>
        <w:t>- 28 - 5.2 5.2.1 Le Tribunal a considéré que la connaissance du dommage consécutif à la violation par l’intimé du devoir d’annoncer ses gains accessoires remontait à l’année 2007 et a examiné si les actes judiciaires des parties avaient interrompu la prescription au sens de l’art. 138 al. 1 aCO. Il a donc implicitement exclu l’application du régime – plus favorable pour l’intimé – de l’art. 138 CO, dans sa version postérieure au 1er janvier 2011, contrairement à ce qu’affirme l’intimé dans sa duplique. 5.2.2 L’art. 49 du Titre final CC (prescription), qui est un cas d’application de l’art. 4 du Titre final CC (droits acquis), ne permet l’application de l’art. 138 CO dans sa nouvelle teneur – plus favorable à l’intimé – que dans la mesure où la prescription n’était pas encore acquise, d’après l’ancien droit, au moment de l’entrée en vigueur du nouveau droit et où les deux législations diffèrent l’une de l’autre (ATF 66 II 161, JdT 1941 I 4, cité in Braconi/Carron/Scyboz, ad art. 49 Titre final CC). La question de savoir si la prescription a été interrompue ou suspendue, ou si elle n’a pas commencé à courir, est résolue d’après le nouveau droit dès son entrée en vigueur (ATF 90 II 325, JdT 1965 I 445). Partant, le nouvel art. 138 CO ne s’applique qu’aux actes interruptifs de prescription accomplis après son entrée en vigueur, même s’ils portent sur des prétentions découlant de faits antérieurs à cette date (ATF 106 II 250, JdT 1981 I 451). 5.3 Il n’y a pas lieu, en l’occurrence, de revenir dans ce contexte sur les reproches adressés par l’appelant au TRIPAC s’agissant de la maxime applicable et de la production de l’entier du dossier pénal, dont l’appelant admet du reste lui-même dans sa réplique que le tribunal en avait requis la production en date du 5 août 2015 et que cela n’avait fait l’objet d’aucune objection ni contestation de sa part. Les arguments avancés à cet égard par l’appelant dans sa réplique – et repris dans ses déterminations du 25 août 2016 – ne sont pas convaincants au regard de la maxime applicable et de la pertinence du dossier pénal dans la présente cause, l’appelant se limitant à exposer qu’il n’était pas censé anticiper que</w:t>
      </w:r>
    </w:p>
    <w:p>
      <w:r>
        <w:t>- 29 - le Tribunal allait retenir dans son jugement des faits non allégués ressortant du dossier pénal et qu’il ne voit pas comment il aurait pu s’opposer à cet acte porté à sa connaissance par un courrier ne constituant pas une décision attaquable. 5.4 5.4.1 En revanche, à la lecture du jugement du TRIPAC, on ne peut discerner la nature – susceptible d’interrompre la prescription – des diverses opérations de procédure que le créancier aurait effectuées durant la période du 5 octobre 2007 au 18 novembre 2008, qui totaliseraient quarante-neuf pièces et que le Tribunal se limite à mentionner en retenant que le créancier ne saurait dès lors être considéré comme inactif. Le Tribunal se limite à exposer que le créancier a collaboré à l’enquête en produisant différentes pièces, qu’il a requis des prolongations de délai pour se déterminer sur les éléments avancés, qu’il a ainsi accompli des actes de procédure relatifs à ses créances découlant de la violation alléguée du devoir d’annonce des gains accessoires par le défendeur et que ces actes de procédure étaient susceptibles de faire progresser l’instance puisque plus l’enquête avançait, plus l’étendue du dommage – que le demandeur pouvait jusqu’alors seulement estimer – se précisait. 5.4.2 Dans sa réponse, l’intimé indique avoir, dans le cadre de ses démarches actives dans la période du mois d’octobre 2007 et novembre 2008, notamment requis qu’une instruction pénale porte également sur la détermination de l’origine, de la nature et de la quotité des gains accessoires réalisés par l’appelant, dès lors que ce dernier en a contesté le principe même. Cela ressort effectivement du courrier adressé par l’intimé au Juge d’instruction cantonal le 17 novembre 2008, par lequel l’Etat de Vaud sollicitait, en se référant notamment au courrier du procureur général du 5 mars 2008, que l’enquête, complétée par la production des déclarations d’impôt de N.________, soit clôturée par son renvoi devant le Tribunal correctionnel pour être jugé pour l’intégralité des faits objets de l’instruction, y compris ceux portant sur les montants totalisant 11 millions de francs, tels que déterminés par le rapport de police. Subsidiairement, l’Etat de Vaud sollicitait qu’un complément d’enquête soit ordonné</w:t>
      </w:r>
    </w:p>
    <w:p>
      <w:r>
        <w:t>- 30 - comprenant l’analyse de chacun des huitante-deux montants objets de la liste annexée au procès-verbal d’audition 32, non retenus par le rapport de police comme étant compris dans l’activité délictueuse de l’appelant. 5.4.3 Toutefois, on ne voit pas comment le courrier du 17 novembre 2008 aurait pu interrompre la prescription annale qui commençait à courir le 6 octobre 2007 pour s’achever le 6 octobre 2008. On peut toutefois considérer que les opérations de l’enquête mentionnées dans le jugement, à savoir les auditions de témoins qui ont eu lieu les 10 juillet et 20 août 2008 (cf. procès-verbal des opérations du dossier pénal, pp. 29 et 30), sont de nature formelle, les deux parties pouvant les constater aisément et sans conteste, qu’elles ont fait progresser l’instance et qu’elles ont dès lors valablement interrompu la prescription. Certes, l’appelant se prévaut dans sa réplique de ce que ces auditions se déroulaient hors la présence des parties, l’ancienne procédure pénale vaudoise permettant au juge d’instruction d’instruire sans véritable procédure contradictoire à ce stade du procès pénal. Toutefois, l’appelant admet également dans sa réplique qu’il était commun que les parties découvrent quelques mois plus tard que des compléments d’instruction avaient été opérés, lors de la consultation du dossier en cours d’enquête ou dans le cadre de l’avis de prochaine clôture, dont il ressort du reste du procès-verbal des opérations du dossier pénal qu’il a été adressé aux parties le 6 octobre 2008, avec un délai fixé au 28 octobre 2008, prolongé par la suite au 17 novembre 2008 pour l’une des parties. Ce faisant, l’appelant n’établit pas, comme il lui incombe de le faire en tant que partie ayant soulevé l’exception de prescription, que les auditions effectuées les 10 juillet et 20 août 2008, mentionnées dans le jugement, n’auraient pas été portées à sa connaissance. Il ressort d’ailleurs du procès-verbal des opérations du dossier pénal qu’elles ont bien eu lieu en présence des conseils des parties, de sorte qu’il y a lieu d’admettre que ces opérations ont valablement interrompu la prescription, à tout le moins jusqu’au 20 août 2009. 5.5</w:t>
      </w:r>
    </w:p>
    <w:p>
      <w:r>
        <w:t>- 31 - 5.5.1 La motivation du Tribunal se fonde – à titre subsidiaire – sur le complément d’enquête ordonné le 5 mars 2008. Il s’agit en réalité d’une « lettre du Procureur général » (procès-verbal des opérations du dossier pénal, p. 28 in fine). Le TRIPAC paraît hésiter sur la nature de cet acte. Il s’agit de savoir s’il constitue une « ordonnance du juge », au sens de l’art. 138 aCO, auquel cas il aurait interrompu la prescription dès le 6 mars 2008 et jusqu’au 6 mars 2009. Les ordonnances visées par l’art. 138 aCO doivent être comprises dans une acception large incluant toutes les ordonnances ou décisions d’instruction (prozessleitende Entscheide ) qui permettent de poursuivre la procédure et qui n’acquièrent pas la force de chose jugée materielle, contrairement aux jugements prévus à l’art. 137 aCO (Däppen, Basler Kommentar, n. 3 ad art. 138 aCO). Selon cette définition, l’ordonnance de complément d’enquête rendue le 5 mars 2008 entre en principe dans la catégorie des décisions interrompant la prescription. Quant au procureur général qui a rendu l’ordonnance de complément d’enquête, il pouvait, selon l’ancienne procédure pénale vaudoise (art. 281 CPP-VD), si aucun recours n’avait été formé contre l’ordonnance de renvoi ou de non-lieu, requérir du juge, dans les dix jours dès réception du dossier, un complément d’enquête. Si le juge admettait la requête, il en informait les parties, y compris le Ministère public, et son ordonnance était caduque. Par conséquent, l’ordonnance de complément d’enquête rendue le 5 mars 2008 peut être qualifiée d’« ordonnance rendue par un juge », interrompant la prescription. 5.5.2 On peine toutefois, avec l’appelant, à concevoir l’existence d’une ordonnance en complément d’enquête qui ne serait portée à la connaissance des parties que « selon toute vraisemblance », pour reprendre les termes employés par le Tribunal, tout en interrompant la prescription. Cependant, si l’appelant conteste dans un premier temps dans sa réplique que cette ordonnance ait fait l’objet d’une communication,</w:t>
      </w:r>
    </w:p>
    <w:p>
      <w:r>
        <w:t>- 32 - l’ancienne procédure pénale vaudoise n’imposant pas au juge de le faire, il admet ensuite qu’il était commun que les parties découvrent quelques mois plus tard que des compléments d’instruction avaient été opérés. L’appelant conclut en ces termes : « on ne saurait dès lors retenir qu’un complément d’enquête a forcément été porté à la connaissance des parties et remplirait donc forcément les conditions posées par la jurisprudence pour être interprété comme un acte interruptif de prescription ». Ce faisant, l’appelant n’établit pas, comme il lui incombe de le faire en tant qu’il a soulevé l’exception de prescription, qu’il n’aurait absolument pas eu connaissance de l’ordonnance de complément d’enquête du 5 mars 2008, de sorte que l’on peut admettre que la prescription a été valablement interrompue jusqu’au 5 mars 2009. 5.6 Enfin, comme déjà mentionné, si l’ampleur du préjudice résulte d’une situation qui évolue, la prescription ne court pas avant le terme de l’évolution, laquelle constitue un tout, non la somme de préjudices distincts, autant du moins que la succession ne présente pas de solution de continuité (notamment ATF 112 II 118 ; ATF 89 II 402 ; ATF 109 II 418 ; ATF 93 II 498). En effet, selon le principe de l'unité du dommage, celui-ci doit être considéré comme un tout et non comme la somme de préjudices distincts. Par conséquent, en cas d'évolution de la situation, le délai de prescription ne court pas avant que le plus tardif des éléments du dommage ne soit apparu. Rien n’empêche de transposer cette jurisprudence, applicable à l’évolution de l’état de santé, au cas d’espèce, de sorte que cela suffit en principe pour dire que la prescription ne courait pas avant la date du 17 novembre 2008 en vertu du principe de l’unité du dommage. Il est en effet établi que l’intimé n’a pas eu connaissance des agissements de l’appelant, objet de la procédure au fond portant sur la restitution des gains accessoires, avant la fin des rapports de travail. Il est également établi que la procédure pénale, ouverte ensuite de la plainte déposée le jour du licenciement de l’appelant, a porté, lorsqu’elle est apparue plus tard en cours d’enquête, sur la question de la rétrocession des gains accessoires, objet du litige devant le TRIPAC. Celui-ci a du reste relevé que le</w:t>
      </w:r>
    </w:p>
    <w:p>
      <w:r>
        <w:t>- 33 - demandeur ne connaissait pas le montant exact du dommage le 5 octobre 2007, tout en ajoutant qu’il pouvait en donner une estimation sur la base du rapport de l’analyste comptable. Cela paraît contredire la suite du jugement du TRIPAC qui expose à titre superfétatoire que l’intimé a toujours prétendu à la restitution de l’entier des fonds faisant l’objet de la procédure pénale (jugement, p. 60), que la constitution de partie civile était exprimée par un montant « minimum », laissant supposer que d’autres prétentions civiles pourraient s’y ajouter ultérieurement et que, bien qu’il n’ait pas formellement précisé ses conclusions civiles, le demandeur a élargi ses prétentions en cours de procédure. Quoi qu’il en soit, ce n’est que l’ordonnance du Juge d’instruction cantonal du 11 mars 2009 qui s’est en définitive prononcée sur l’entier des prétentions du demandeur, étant précisé que celui-ci a été renvoyé à agir devant le juge civil pour le volet relatif à ses créances fondées sur la violation de l’obligation d’annoncer les gains accessoires. Par conséquent, sous l’angle de l’application de l’art. 9 LRECA, qui s’inspire de l’art. 60 CO, la créance de l’intimé n’était de toute manière pas prescrite à cette date conformément au principe de l’unité du dommage. Le 1er avril 2009, l’appelant a déclaré renoncer à se prévaloir de la prescription, étant cependant précisé que cette renonciation ne valait que pour autant que la prescription ne soit pas déjà acquise, déclaration réitérée par la suite, de sorte qu’il n’y a pas lieu d’examiner plus avant les arguments des parties relatifs à l’abus de droit dans ce contexte. 5.7 Il ressort de ce qui précède que le moyen de l’appelant consistant à invoquer l’inexistence d’actes interruptifs de prescription intervenus entre le 5 octobre 2007 et le 17 novembre 2008 doit être rejeté. 6. 6.1 Dans un dernier moyen, l’appelant reproche au TRIPAC d’avoir réfuté que le dies a quo du délai de prescription pourrait être le jour à</w:t>
      </w:r>
    </w:p>
    <w:p>
      <w:r>
        <w:t>- 34 - partir duquel les créances sont devenues exigibles, malgré le texte clair de la LPers (art. 16 al. 3) et la jurisprudence du Tribunal fédéral (TF 8C_943/2011 du 26 novembre 2012 consid. 5.1 ; analogie entre l’art. 16 al. 3 LPers et l’art. 130 CO). Selon l’appelant, le Tribunal aurait dû parvenir à la conclusion que toutes les créances devenues exigibles plus d’une année avant le dépôt de la plainte pénale de l’Etat de vaud le 26 avril 2006 (et la résiliation du contrat) étaient prescrites. 6.2 Le Tribunal fédéral a admis l’application de la LPers et le délai de prescription de l’art. 130 CO (exigibilité des créances) aux créances salariales, étant relevé que l’auteure Novier (op. cit., p. 54 et note infrapaginale 59) soutient que la volonté du législateur vaudois de prévoir des délais courts dans la LPers ne semblait porter que sur les prétentions non pécuniaires et non sur les prétentions salariales. 6.3 Le TRIPAC s’est fondé sur l’art. 50 LPers (engagements et devoirs du collaborateur, qui doit notamment agir conformément aux intérêts de l’Etat et du service public et dans le respect des normes en vigueur), voire sur l’art. 124 RLPers (par renvoi de l’art. 50 LPers) qui prévoit « un devoir de fidélité et de discrétion » de l’employé, entraînant pour lui l’obligation de s’abstenir de tout acte qui pourrait causer à l’Etat une perte ou un dommage. En l’occurrence, il est reproché à l’appelant de ne pas avoir annoncé et restitué des gains accessoires, soit d’avoir notamment violé les normes en la matière, à savoir les Directives du 4 novembre 1999 précitées (let. C/2.4 supra) et la Directive institutionnelle du 7 mars 2005 relative aux conflits d’intérêts. La LPers ne prévoit pas expressément les conséquences pour l’employé, comme c’est le cas aux art. 321d et 321e CO. C’est donc à bon droit que le Tribunal a appliqué l’art. 321e CO à titre de droit cantonal supplétif. 6.4 Selon l’art. 321e CO, le travailleur répond du dommage qu'il cause à l'employeur intentionnellement ou par négligence. Sa responsabilité suppose la réunion des quatre conditions générales suivantes : une violation des obligations contractuelles, une faute, un préjudice et un lien de causalité. La mesure de la diligence du travailleur</w:t>
      </w:r>
    </w:p>
    <w:p>
      <w:r>
        <w:t>- 35 -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TF 4C.87/2001 du 7 novembre 2001 consid. 4a). Ces circonstances peuvent aussi être prises en considération pour déterminer l’étendue de la réparation (art. 99 al. 3, 42 à 44 CO ; ATF 110 II 344 consid. 6b). 6.5 Un fondement contractuel pour les gains accessoires n’étant pas exclu (art. 337b CO auquel renvoie l’art. 61 al. 2 LPers), cela entraînerait en principe l’exigibilité des créances en restitution des gains accessoires au moment du licenciement (art. 339a CO). Toutefois, selon l’ATF 110 II 344 consid. 2b précité,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Le silence de l’employeur ne saurait impliquer la renonciation à des créances dont il n’a pas encore connaissance, du moins dans leur principe ; ce silence n’est pas non plus décisif lorsque l’employeur n’a pas la possibilité de manifester son intention au travailleur avant la fin des rapports de travail. Le fardeau de la preuve des faits permettant d’admettre une renonciation appartient au débiteur – soit au travailleur –, dès lors qu’il s’agit d’une cause d’extinction de l’obligation (art. 8 CC).</w:t>
      </w:r>
    </w:p>
    <w:p>
      <w:r>
        <w:t>- 36 - En l’espèce, aucune circonstance ne permet de retenir la renonciation de l’intimé à sa créance découlant de la prétendue violation de l’obligation d’annoncer et de rétrocéder les gains accessoires dont il n’avait pas connaissance au moment de la résiliation des rapports de travail mais qui n’est apparue que durant l’enquête pénale, étant du reste rappelé qu’il s’était constitué partie civile en prenant des conclusions civiles dans sa plainte pénale du 26 avril 2006, date à laquelle le Conseil d’Etat du canton de Vaud a également résilié les rapports de service le liant à l’appelant. Le silence de l’employeur jusqu’à l’apparition des éléments portant sur les gains accessoires en 2007 ne saurait pas davantage impliquer une telle renonciation, dès lors qu’il ignorait l’existence de cette créance et qu’il n’avait ainsi pas eu la possibilité de manifester son intention à l’appelant avant la fin des rapports de travail. Pour le reste, les considérations émises au sujet de l’interruption de la prescription, en particulier de l’unité du dommage, conservent leur pertinence dans ce contexte. 6.6 Le moyen est donc mal fondé et doit être rejeté. 7. En définitive, l’appel doit être rejeté et le jugement attaqué confirmé. Les frais judiciaires de deuxième instance, arrêtés à 50'000 fr. (art. 6, 66 et 67 TFJC [tarif des frais judiciaires en matière civile du 28 septembre 2010 ; RSV 270.11.5]), seront mis à la charge de l'appelant, qui succombe (art. 106 al. 1 CPC). L’appelant versera à l’intimé, qui a procédé avec l’assistance d’un mandataire professionnel, des dépens de deuxième instance (art. 95 al. 1 let. b et 106 al. 1 CPC), fixés d'office (art. 105 al. 1 CPC) conformément au tarif des dépens en matière civile (TDC). En l'espèce, compte tenu des difficultés de la cause, de l'ampleur du travail et du temps consacré par le conseil de l’intimé (art. 3 al. 2 TDC), les dépens</w:t>
      </w:r>
    </w:p>
    <w:p>
      <w:r>
        <w:t>- 37 - peuvent être fixés à 60’000 fr. (art. 3 al. 2 et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