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TK22.050570 vom 3. November 2025</w:t>
      </w:r>
    </w:p>
    <w:p>
      <w:r>
        <w:t>VD Tribunal cantonal, 2025-11-03, FR</w:t>
      </w:r>
    </w:p>
    <w:p>
      <w:r>
        <w:rPr>
          <w:b/>
        </w:rPr>
        <w:t xml:space="preserve">Quelle: </w:t>
      </w:r>
      <w:r>
        <w:t>https://mcp.opencaselaw.ch/entscheid/vd_gerichte_TK22.050570</w:t>
      </w:r>
    </w:p>
    <w:p>
      <w:r>
        <w:t>FR: VD_GERICHTE TK22.050570 du 3 novembre 2025</w:t>
      </w:r>
    </w:p>
    <w:p>
      <w:r>
        <w:t>IT: VD_GERICHTE TK22.050570 del 3 novembre 2025</w:t>
      </w:r>
    </w:p>
    <w:p>
      <w:pPr>
        <w:pStyle w:val="Heading2"/>
      </w:pPr>
      <w:r>
        <w:t>Erwägungen</w:t>
      </w:r>
    </w:p>
    <w:p>
      <w:r>
        <w:rPr>
          <w:b/>
        </w:rPr>
        <w:t>E. 18</w:t>
      </w:r>
    </w:p>
    <w:p>
      <w:r>
        <w:t>septembre 2025/420 consid. 2.2.4 ; CACI 30 octobre 2024/482 consid. 3.2.3). Un des principaux devoirs imposés par la bonne foi veut que la partie se prévale de ses moyens au moment prévu par la loi et sans tarder, à défaut de quoi, elle troublerait inutilement le cours du procès (CACI 30 octobre 2024/482 consid. 3.2.3 ; CACI 1er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 Dans l’arrêt 5A_541/2015 du 14 janvier 2016,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w:t>
      </w:r>
    </w:p>
    <w:p>
      <w:r>
        <w:t>- 13 -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 2.3 En l’espèce, la présente procédure étant soumise à la maxime inquisitoire illimitée, les pièces produites par l’appelante sont recevables (art. 317 al. 1bis CPC). Quant à la situation de l’intimé, elle a été établie sur la base du dossier dès lors qu’il n’a pas déposé de réponse recevable (cf. consid. 1.2.2 et ordonnance présidentielle du 17 juin 2025) et n’a pas collaboré à l’établissement des faits en première comme en seconde instance, étant observé que l’appelante ne requiert au demeurant pas de complément d’instruction concernant sa partie adverse. 3. L’appel a pour objet la quotité de la contribution d’entretien fixée par les premiers juges en faveur de K.X.________ ainsi que le droit d’E.X.________ à une contribution d’entretien à compter du 1er avril 2024 et la quotité de celle-ci.</w:t>
      </w:r>
    </w:p>
    <w:p>
      <w:r>
        <w:t>- 14 - 4. 4.1 Dans un premier moyen, l'appelante fait implicitement valoir une violation de son droit d'être entendue. Elle soutient que l'intimé jouit d'une fortune confortable, élément occulté par les premiers juges, qui n'en ont pas tenu compte dans le calcul des contributions d'entretien en faveur de ses filles (all. 6 à 10). Elle rappelle qu’elle avait allégué ces éléments dans sa demande en action alimentaire du 21 novembre 2022 (all. 27-31 ; II. En droit, C. Au fond, b. contributions d'entretien en faveur d'E.X.________ et de K.X.________). 4.2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 TF 5A_989/2023 du 3 mars 2025 consid. 4.4.4).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l 279 consid. 2.6.1 ; ATF 133 I 201 consid. 2.2).</w:t>
      </w:r>
    </w:p>
    <w:p>
      <w:r>
        <w:t>- 15 - 4.3 En l'occurrence, les premiers juges n'ont pas tenu compte de la fortune de l’appelant pour calculer les contributions d’entretien dues en faveur des enfants E.X.________ et K.X.________. Cela étant, les premiers juges n'avaient pas à se prononcer sur tous les éléments invoqués par les parties et singulièrement sur un point qui n’est pas décisif pour l'issue de la cause (sur la question de la fortune, cf. aussi consid. 7.3 ci-dessous). La question de savoir si le tribunal a suffisamment motivé sa décision et expliqué concrètement ce qui l'a amené à ne pas prendre en compte la fortune de l’intimé peut ainsi demeurer ouverte. En effet, d'une part, assistée d'une avocate, l’appelante a pu se rendre compte de la portée de la décision et l'attaquer en toute connaissance de cause de manière efficace, comme le montre d’ailleurs son appel, mais aussi le sort du litige in fine. D'autre part, la Cour d’appel civile jouit du même pouvoir d’examen que l'autorité précédente, si bien que le vice peut être guéri, l’appelante ayant eu l'occasion d'exposer ses griefs et de se prononcer sur les différents éléments du dossier. Partant, le moyen sera rejeté. 5. 5.1 Pour arrêter les contributions d’entretien en faveur des enfants dans le cadre d’une action en complément d’un jugement de divorce prononcé en France et reconnu en Suisse, le droit suisse est applicable (art. 64 al. 2 et 83 al. 1 LDIP ; art. 4 al. 1 CLHa73 [Convention de La Haye sur la loi applicable aux obligations alimentaires du 2 octobre 1973 ; RS 0.211.213.01]) vu que la résidence habituelle des créanciers d’aliments se trouve en Suisse. Il y a ainsi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w:t>
      </w:r>
    </w:p>
    <w:p>
      <w:r>
        <w:t>- 16 - besoins de la personne dont l'entretien est concerné (entretien dit convenable ; ATF 147 III 301 consid. 4.3 ; ATF 147 III 293 consid. 4.5 in fine ; ATF 147 III 265 consid. 6.6 in fine ; parmi d’autres, TF 5A_476/2023 du 28 février 2024 consid. 3.2.1 et les références). 5.2 5.2.1 L'art. 285 al. 1 CC dispose que la contribution d'entretien doit correspondre aux besoins de l'enfant ainsi qu'à la situation et aux ressources de ses père et mère et qu'il est tenu compte de la fortune et des revenus de l'enfant. 5.2.2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5.2.3 5.2.3.1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5.2.3.2 Le point de départ pour le calcul des coûts effectifs de l'enfant est son besoin, qui doit correspondre à la capacité contributive des parents. Sont prises en compte les positions déterminantes pour le calcul du minimum vital du droit des poursuites. S'agissant d'un enfant, on tient compte d'un montant de base, des coûts de logement, des primes</w:t>
      </w:r>
    </w:p>
    <w:p>
      <w:r>
        <w:t>- 17 - d'assurance-maladie comme de coûts de garde par des tiers ou d'autres coûts directs liés à l'enfant. Les montants retenus par les offices des poursuites pour la détermination de la quotité saisissable ne sont pas directement applicables, mais doivent être mis en relation avec les circonstances économiques des parents (besoin de base familial). Plus les moyens sont limités, plus on s'en tiendra au minimum vital du droit des poursuites. Plus les moyens sont étendus, plus on pourra apprécier largement les postes du besoin, non seulement chez l'enfant mais également chez les parents. De ces coûts directs, on doit déduire les allocations familiales, les rentes des assurances sociales des enfants, ainsi que d'éventuels revenus de l'enfant. Cela étant, le montant de la contribution d'entretien ne doit pas être calculé simplement de façon linéaire d'après la capacité financière des parents, sans tenir compte de la situation concrète de l'enfant (ATF 147 III 265 consid. 5.4 et 7.2 ; TF 5A_476/2023 précité, loc. cit.). 5.2.3.3 Les lignes directrices pour le calcul du minimum d'existence selon l'art. 93 LP émises par la Conférence des préposés aux poursuites et faillites de Suisse (publiées in BlSchK 2009 p. 196 ss) prévoient que le montant de base mensuel pour un débiteur vivant seul est de 1'200.00 CHF ; il est de 1'350.00 CHF pour un débiteur monoparental avec obligation de soutien, 400.00 CHF pour les enfants âgés de moins de dix ans et 600.00 CHF pour les enfants âgés de dix ans ou plus, y compris les majeurs vivant avec un parent. Il faut comprendre par "débiteur vivant seul avec obligation de soutien", le parent qui vit seul avec ses enfants, aussi bien mineurs que majeurs en formation sans possibilité financière de participer aux coûts du ménage commun. Un montant supérieur est prévu pour le débiteur élevant seul ses enfants – par qui on entend le parent auquel les enfants sont confiés – afin de se rapprocher des directives de la Conférence suisse des institutions d'action sociale (CSIAS) sur l'aide sociale et, surtout, parce que les frais des ménages monoparentaux sont nettement plus élevés que ceux des couples (TF 5A_636/2023 du 19 mars 2025 consid. 3.1 et les références ; TF 5A_382/2021 du 20 avril 2022 consid. 8.3 in fine, non publié in ATF 148 III 353 ; TF 5A_6/2019 du 3 juillet 2019 consid. 4.4 et les références). S’y ajoutent des suppléments, qualifiés</w:t>
      </w:r>
    </w:p>
    <w:p>
      <w:r>
        <w:t>- 18 -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6 juin 2025/251 consid. 5.2.2.2 et les nombreuses références), à hauteur de 150.00 CHF par mois (ibid.), ce montant comprenant les frais de déplacement (ibid.).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5.2.3.4 Lorsque les moyens sont limités, il convient de s’en tenir à ces charges, qui constituent le minimum vital LP (cf. ATF 147 III 265 précité consid. 7.2), étant rappelé qu’il ne doit pas être porté atteinte au minimum vital LP du débirentier (ATF 147 III 265 précité consid. 6.2). 5.2.3.5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(130.00 CHF pour les adultes ; 50.00 CHF pour les enfants dès 12 ans ; CACI 15 décembre 2022/610) et les assurances (50.00 CHF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w:t>
      </w:r>
    </w:p>
    <w:p>
      <w:r>
        <w:t>- 19 - 7.2 ; sur le tout Juge unique CACI 6 juin 2025/251 consid. 5.2.2.3 et les nombreuses références). 5.2.3.6 Lorsque le débiteur ou le créancier d’entretien vit à l’étranger, il y a lieu de tenir compte, lors du calcul du montant de base, du niveau de vie de ce pays (TF 5A_987/2023 du 7 août 2024 consid. 4.2, publié in FamPra.ch 2024 p. 1012 ; TF 5A_685/2018 du 15 mai 2019 consid. 4.7). 5.2.4 5.2.4.1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5.2.4.2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5.2.5 Les tableaux qui suivent (consid. 13) intègrent ces principes arrêtés par le Tribunal fédéral pour le calcul des contributions d’entretien</w:t>
      </w:r>
    </w:p>
    <w:p>
      <w:r>
        <w:t>- 20 - (ATF 147 III 301 consid. 4.3 ; ATF 147 III 293 consid. 4.5 in fine ; ATF 147 III 265 consid. 6.6 in fine). 5.3 5.3.1 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la partie intéressée (ATF 143 III 233 consid. 3.2 ; TF 5A_747/2023 du 26 mai 2025 consid. 3.1.2 et les références). 5.3.2 Lorsque le juge entend imputer un revenu hypothétique à un époux ou à un parent, il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5A_747/2023 précité, loc. cit. ; TF 5A_344/2022 du 31 août 2022 consid. 4.3.1).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w:t>
      </w:r>
    </w:p>
    <w:p>
      <w:r>
        <w:t>- 21 - salaires « Salarium » élaboré et mis à disposition par cet office (TF 5A_613/2022 du 2 février 2023 consid. 4.4.2). 5.3.3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 ATF 144 III 481 consid. 4.7.6). Un revenu hypothétique peut par conséquent être imputé pour la part de la capacité de travail qui n’est pas exploitée (Stoudmann, Le divorce en pratique, 3e éd., Lausanne 2025, p. 118). 5.3.4 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Les tribunaux accordent le plus souvent des délais entre trois et six mois (Stoudmann, op. cit., p. 93 et les réf. citées).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la réf. cit.). 5.3.5 Un débiteur d'entretien vivant à l'étranger ne peut cependant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w:t>
      </w:r>
    </w:p>
    <w:p>
      <w:r>
        <w:t>- 22 - d'entretien perçoit ou pourrait percevoir en son lieu de séjour étranger (FamPra.ch. 2011 p. 510 ; CACI 13 avril 2022/208 ; juge unique CACI 21 mai 2025/225). 6. 6.1 L'appelante conteste la méthode de calcul du minimum vital retenue par les premiers juges (appel, p. 10 en bas). Le tribunal a considéré qu'au vu de la situation financière des parties, la méthode du minimum vital du droit des poursuites devrait être appliquée (jugement, p. 14). Il a en particulier pris en compte, au moment de la répartition de l’excédent, les revenus hypothétiques imputés à l’intimé (2'673.69 CHF), les charges de l’intimé calculées selon le minimum vital du droit des poursuites (1'130.00 CHF), les charges de l’appelante calculées selon le minimum vital du droit des poursuites (2'911.00 CHF) et les coûts directs des enfants (634.50 CHF et 221.55 CHF). Sur cette base, le tribunal a constaté l’absence de disponible. 6.2 Le raisonnement des premiers juges en ce qui concerne la situation des parents ne peut cependant pas être suivi. Le tribunal a omis dans le calcul du disponible le revenu hypothétique de 3'095.90 CHF qu’il a imputé à l’appelante, cela alors même qu’il n’a pas ajouté de contribution de prise en charge dans les coûts directs des enfants (jugement attaqué, pp. 16-17). Une fois le revenu hypothétique de l’appelante rajouté et en appliquant la méthode du minimum vital du droit des poursuites, il subsisterait un disponible de l’ordre de CHF 870.00 ([2'673.69 CHF - 1'130.00 CHF] + [3'095.90 CHF - 2'911.00 CHF] - [634.50 CHF + 221.55 CHF]), qui n’est pas sans conséquence sur le sort de l’appel et le traitement des autres moyens de l’appelante. Aussi, le grief de l’appelante concernant la méthode de calcul du minimum vital doit être admis dans son principe, ce qui implique d’élargir, dans la mesure du disponible, le calcul au minimum vital de droit</w:t>
      </w:r>
    </w:p>
    <w:p>
      <w:r>
        <w:t>- 23 - de la famille et de reprendre l’ensemble de la situation des parties et de leurs enfants après avoir traité les autres moyens de l’appelante (cf. consid. 5.2.3.5 et 7 ss ci-dessous). 7. 7.1 L'appelante soutient que la fortune dont jouit l'intimé doit être prise en compte dans le calcul de la contribution d'entretien en faveur des enfants, au même titre que le revenu d'une activité lucrative. Elle ajoute que, lorsque la fortune ne produit aucun ou qu'un faible rendement, il peut être tenu compte d'un revenu hypothétique. Elle fonde son moyen sur l'ATF 117 II 16 et les arrêts du Tribunal fédéral 5A_690/2019 du 23 juin 2020 (consid. 3.3.1) et 5A_662/2008 du 6 février 2009 (consid. 3.2). Elle allègue que l'intimé a hérité de sommes importantes, ce qu'il n'a pas contesté. Elle invoque en particulier le montant de 250'000.00 EUR reçu par l’intimé lors de la vente de la maison héritée de ses parents, ce qu'il a admis, ainsi que d'un montant en héritage de sa grand-mère, qui n’est pas davantage contesté. Elle en déduit que le tribunal aurait dû prendre en compte non seulement le minimum vital LP, mais l'entier des coûts directs selon le minimum vital de droit de la famille des enfants au vu de la situation financière de la famille et singulièrement de celle du père des enfants. 7.2 Pour fixer la contribution d'entretien, le juge doit en principe tenir compte du revenu effectif des parties (ATF 143 III 233 consid. 3.2). Le juge peut également prendre en considération le revenu de la fortune, au même titre que le revenu de l'activité lucrative; lorsque la fortune ne produit aucun ou qu'un faible rendement, il peut être tenu compte d'un revenu hypothétique (ATF 117 II 16 consid. 1b ; TF A_608/2019 du 16 janvier 2020 consid. 4.2.1). Si les revenus (du travail et de la fortune) suffisent à l'entretien des conjoints, la substance de la fortune n'est normalement pas prise en considération (ATF 138 III 289 consid. 11.1.2; arrêt 5A_479/2015 du 6 janvier 2016 consid. 4.4.3). Dans le cas contraire, l'entretien peut, en</w:t>
      </w:r>
    </w:p>
    <w:p>
      <w:r>
        <w:t>- 24 - principe, être assuré par des prélèvements dans la fortune des époux, le cas échéant même par les biens propres (ATF 138 III 289 consid. 11.1.2; ATF 134 III 581 consid. 3.3; TF 5A_170/2016 du 1er septembre 2016 consid. 4.3.5 et les nombreuses références), que ce soit en mesures provisionnelles ou dans la procédure au fond (TF A_608/2019 précité, loc. cit. ; TF 5A_170/2016 précité, loc. cit. ; TF 5A_23/2014 du 6 octobre 2014 consid. 3.4.2). Suivant la fonction et la composition de la fortune des époux, l'on peut ainsi attendre du débiteur d'aliments – comme du crédirentier – qu'il en entame la substance (cf., pour l'entretien durant le mariage, ATF 134 III 581 consid. 3.3 ; pour l'entretien post divorce, ATF 138 III 289 consid. 11.1.2, ce qui vaut a fortiori pour l'entretien de l'enfant, cf. TF 5A_311/2019 du 11 novembre 2020, SJ 2021 I p. 316]). Si celle-ci est en particulier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5A_170/2016 précité, loc. cit.).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A_608/2019 précité, loc. cit. ; TF 5A_170/2016 précité, loc. cit.).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(TF A_608/2019 précité, loc. cit. ; TF 5A_170/2016 précité, loc. cit. ; TF 5A_651/2011 du 26 avril 2012 consid. 6.1.3.2 in fine non publié aux ATF 138 III 374).</w:t>
      </w:r>
    </w:p>
    <w:p>
      <w:r>
        <w:t>- 25 - Pour respecter le principe d'égalité entre les époux, l'on ne saurait cependant exiger d'un conjoint qu'il entame sa fortune pour assurer l'entretien courant que si l'on impose à l'autre d'en faire autant, à moins qu'il n'en soit dépourvu (ATF 129 III 7 consid. 3.1.2 ; TF 5A_608/2019 précité, loc. cit. ; TF 5A_372/2015 du 29 septembre 2015 consid. 2.1.2 les références). 7.3 En l'espèce, il ressort de la décision entreprise que l'intimé a admis avoir hérité d'un montant de 250'000.00 EUR au décès de ses parents. Il affirme avoir payé 57'000.00 EUR de droits de succession et que le solde lui servirait pour acquérir un bien immobilier, en qualité de résidence principale. L'appelante ne parvient pas à motiver à satisfaction les raisons pour lesquelles cette fortune devrait être intégrée au calcul de fixation de la contribution d'entretien en faveur de ses filles. En particulier, elle n'explique pas en quoi il faudrait déroger au principe posé par la jurisprudence selon lequel l’entretien est en premier lieu assuré par les revenus. Or, l’appelante perd de vue que l’instance précédente a imputé un revenu hypothétique salarié et un revenu locatif à l’intimé propre à couvrir le minimum vital de ses deux filles, y compris de sa fille majeure. Elle n’explicite en particulier pas de manière circonstanciée les raisons pour lesquelles la situation de l’intimé réunirait les conditions permettant d’entamer sa fortune dans la mesure où les premiers juges ont retenu que l’intimé réalisait un revenu locatif et qu’il était apte à percevoir le SMIC (cf. jugement attaqué, pp. 15-16). Il convient dès lors de rejeter le moyen dans la mesure de sa recevabilité. 8. 8.1 L'appelante fait valoir qu'il faudrait supprimer les frais de transport retenus par les premiers juges dans les charges de l'intimé, au</w:t>
      </w:r>
    </w:p>
    <w:p>
      <w:r>
        <w:t>- 26 - motif que ces mêmes charges n'ont pas été retenues dans le calcul de son propre budget. L'autorité précédente a établi les budgets selon le minimum vital de droit des poursuites. Elle a imputé un revenu hypothétique à l'intimé de 2'673.69 CHF et lui a alloué un montant forfaitaire de 200.00 CHF pour les frais de transport professionnels, en sus des frais de déplacement pour l'exercice du droit de visite. 8.2 D'emblée, il y a lieu de constater que l'appelante n'a pas exposé les motifs, pour lesquels, il faudrait s'écarter de la solution retenue par le premier juge, puisqu'elle se limite à présenter sa propre vision de la situation, affirmant que des frais de déplacement n'avaient pas été comptabilisés en ce qui la concernait et qu'ils devaient donc être supprimés chez l'intimé (all. 3 et p. 11). Dans la mesure où un revenu hypothétique a été imputé à l'intimé, il se justifie de tenir compte de frais de transport hypothétiques qui seront nécessaires à l'acquisition de ce revenu (CACI du 8 janvier 2021/10 consid. 9.4 ; Juge unique CACI du 28 juin 2023/256 consid. 4.3.3.1 ; Stoudmann, op. cit., p. 206 et les références). Le principe d'un montant pour des frais de déplacement professionnels ne prête donc pas flanc à la critique. Pour le surplus, l'appelante ne s'en prend pas à la quotité du montant de 200.00 CHF retenu qui doit donc être confirmé au titre de forfait, ce qui conduit au rejet du moyen. 8.3 D’office, il convient cependant de rappeler que les premiers juges ont imputé à l’appelante un revenu hypothétique statistique de 3'095.90 CHF à un taux d’activité 80 % en qualité d'auxiliaire de santé en prenant en compte l’âge de K.X.________, ceci même sans formation de base et sans expérience professionnelle. Ce poste, qui n’est pas contesté en appel, apparaît conforme au droit fédéral et n’appelle pas d’intervention au vu du dossier. Dès lors qu’un revenu hypothétique a été</w:t>
      </w:r>
    </w:p>
    <w:p>
      <w:r>
        <w:t>- 27 - imputé à l'appelante, il se justifie de lui concéder des frais de déplacement professionnels par 78.00 CHF (abonnement deux zones Mobilis https://www.mobilis-vaud.ch/fr/tarifs/) dès lors qu’elle est en mesure de trouver un emploi d'auxiliaire de santé ou tout autre emploi non qualifié dans ce périmètre (CACI du 8 janvier 2021/10 consid. 9.4 ; Juge unique CACI du 28 juin 2023/256 consid. 4.3.3.1 ; Stoudmann, op. cit., p. 206 et les références). Le jugement doit être modifié sur ce point dans la mesure de ce qui précède, étant rappelé que les maximes inquisitoire et d’office s’appliquent concernant le calcul de contribution d’entretien pour des enfants mineurs. 9. 9.1 En vue du nouveau calcul à effectuer, il convient d’ajouter en premier lieu la charge fiscale des parents (ATF 147 III 265 précité consid. 7.2 ; cf. consid. 5.2.3.5 ci-dessus). 9.2 9.2.1 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 9.2.2 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ci-dessous.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w:t>
      </w:r>
    </w:p>
    <w:p>
      <w:r>
        <w:t>- 28 -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30 octobre 2023 précité, loc. cit.). 9.3 9.3.1 Pour l’appelante, il sera tenu compte du montant de 463.35 CHF (dont à déduire la part des enfants) qui résulte du calculateur utilisé pour les tableaux ci-dessous. 9.3.2 L’intimé est domicilié en France. Sa charge fiscale peut être évaluée selon les barèmes de l’administration fiscale française (cf. https://www.service-public.fr/particuliers/vosdroits/F1419 consultée le 5 septembre 2025), étant souligné que l’intéressé n’a pas déposé de réponse et de documents propres à évaluer plus précisément sa charge fiscale et que, pour les motifs indiqués au consid. 2.2.3.2 ci-dessus, il n’appartient pas à la Cour d’appel civile d’en requérir la production vu le flagrant manque de collaboration de l’intéressé. L’intimé bénéficie d’un revenu hypothétique annuel de 32'084.28 EUR (12 mois × 2'673.69 EUR). Il sera donc imposé à 0 % sur la première tranche jusqu’à 11'497.00 EUR, par 1'958.98 EUR sur la seconde tranche de 11'498.00 EUR à 29'315.00 EUR (29'315.00 EUR - 11'497.00 EUR × 11 % = 17'818.00 EUR puis 17'818.00 EUR × 11 %) et par 249.23 EUR sur la troisième tranche de 29'315.00 EUR à 32'084.28 EUR (32'084.28 EUR - 29'315.00 EUR × 30 % = 830.78 EUR puis 830.78 EUR × 30 %), soit au total 2'208.21 EUR par an (1'958.98 EUR + 249.23 EUR). Sa charge fiscale mensuelle est ainsi de 184.02 EUR (2'208.21 EUR ÷ 12 mois). Quant à l’impôt sur la fortune de l’intimé, que l’on estimera à 193'000.00 EUR (250'000.00 EUR - 57'000.00 EUR [cf. courrier reçu le 20 février 2023 au tribunal]) au vu des documents disponibles, il n’atteint pas</w:t>
      </w:r>
    </w:p>
    <w:p>
      <w:r>
        <w:t>- 29 - le seuil de 1'300'000.00 EUR entraînant l’imposition du patrimoine immobilier (https://www.service-public.fr/particuliers/vosdroits/F563 consulté le 5 septembre 2025). C’est donc un montant de 184.00 EUR qui sera reporté dans le tableau pour le poste « impôts » de l’intimé. 10. 10.1 L'appelante fait valoir que le tribunal a retenu à tort qu'E.X.________ n'avait pas produit de procuration autorisant sa mère à la représenter dans le cadre de la procédure. Elle allègue qu’E.X.________ a été entendue par la présidente du tribunal deux jours après ses 18 ans et que, si elle avait été consultée sur cet aspect, elle aurait consenti à ce qui précède (all. 11-15). Dans le cadre de l'appel, elle a produit une procuration datée du 19 mars 2024 dans laquelle E.X.________ consent à ce que sa mère la représente dans le cadre de la procédure divisant ses parents (pièce 2). 10.2 Dans le procès en divorce, le parent détenteur de l'autorité parentale qui a la garde fait valoir, en son propre nom et à la place de l'enfant mineur, les contributions d'entretien dues à celui-ci. Lorsque l'enfant devient majeur en cours de procédure, la faculté d'agir du parent qui détenait l'autorité parentale (art. 304 CC) perdure au-delà de la majorité de l'enfant, pour autant que ce dernier approuve les prétentions réclamées (ATF 139 III 401 consid. 3.2.2 ; ATF 129 III 55 consid. 3.1). Selon la jurisprudence fribourgeoise, en matière de procédure concernant des enfants, la maxime inquisitoire illimitée et la maxime d'office doivent obéir aux mêmes règles. Si donc l'une est applicable à la procédure intentée par l'enfant majeur, l'autre doit être applicable aussi. Avec les auteurs cités, on retiendra qu'une application de l'art. 296 CPC aux enfants majeurs se justifie aussi d'un point de vue téléologique. En effet, l'enfant – certes majeur, mais néanmoins jeune – est en général dans une relation de dépendance envers ses parents et doit dès lors être qualifié de partie faible. Il serait aussi absurde, s'agissant de l'enfant mineur devenu majeur</w:t>
      </w:r>
    </w:p>
    <w:p>
      <w:r>
        <w:t>- 30 - en cours de procédure, de lui appliquer d'abord la maxime inquisitoire illimitée et la maxime d'office pour ensuite, du jour au lendemain, passer à la maxime des débats et au principe de disposition TC FR du 5 mars 2020 101 2019 196/101 2019 345 consid. 1.2 in fine). Il ressort en outre de la jurisprudence du Tribunal fédéral que l'enfant concerné doit être consulté dans ces situations (TF 5A_914/2023 du 10 juillet 2024 consid. 8.1.1 ; TF 5A_763/2023 du 24 avril 2024 consid. 4.1 et les références). 10.3 10.3.1 D'emblée, il y a lieu de relever que la procuration produite en pièce 2 est datée du [...], jour de l'accession à la majorité d'E.X.________. Le jugement entrepris date du 5 novembre 2024. Se pose dès lors la question de savoir pourquoi l'appelante – pourtant assistée d’un avocat – n'a pas transmis cette procuration à l'autorité de première instance. Cela étant, dès lors que la présente procédure est soumise à la maxime inquisitoire illimitée et à la maxime d'office, il y a lieu d'en tenir compte dans le cadre de la présente procédure (art. 317 al. 1bis CPC). 10.3.2 E.X.________, née en [...], a atteint la majorité le [...], en cours de la procédure initiée au mois de décembre 2022. Elle a été entendue par l'autorité de première instance le 21 mars 2024, peu après avoir atteint ses 18 ans ([...]). Il ne ressort pas du dossier – en particulier du procès- verbal d'audition – qu'E.X.________ ait été consultée par l'autorité de première instance quant à son accord pour que sa mère la représente dans la procédure. Il ne semble pas que cette autorité l'ait expressément interpellée sur ce point, contrairement aux réquisits jurisprudentiels. Sans cette interpellation, elle ne pouvait, selon la jurisprudence précitée, en déduire une absence de consentement de la part d'E.X.________ d'être représentée par sa mère (cf. consid. 10.2). Le tribunal aurait dû en déduire le contraire du fait qu'E.X.________ ne se soit pas opposée à cette représentation entre la majorité acquise et le prononcé de la décision litigieuse (dans le même sens, cf TC FR du 5 mars 2020 précité, loc. cit.). Cette interprétation est</w:t>
      </w:r>
    </w:p>
    <w:p>
      <w:r>
        <w:t>- 31 - confortée par la pièce 2, dans laquelle E.X.________ autorise expressément sa mère à agir en son nom. Ainsi, le moyen doit être admis. 11. 11.1 Il s'agit dès lors de calculer la contribution d'entretien due en faveur d'E.X.________. Pour les motifs expliqués ci-dessus, il sera tenu compte de la méthode du minimum vital du droit de la famille. 11.2 L’appelante soulève plusieurs griefs à l’encontre des chiffres retenus par le tribunal qu’il convient d’examiner, nonobstant le changement de la méthode de calcul. 11.2.1 En ce qui concerne la prime pour l'assurance obligatoire des soins, le tribunal a déduit de la prime de la caisse d’assurance-maladie les subsides reçus (prime 2024 de 116.95 CHF [pièce 24] - 111.00 CHF de subsides [pièce 18]), si bien que ce poste se montait à 5.95 CHF. L'appelante invoque dans son appel l'augmentation de prime pour l’année 2025 (424.55 CHF) et la réduction du subside accordé (365.00 CHF) pour sa fille aînée, si bien que ce poste se monte désormais à 59.55 CHF (cf. pièce 3 produite en appel). Dès lors que ces pièces sont postérieures à la clôture de l’instruction en première instance et que la procédure est soumise à la maxime inquisitoire illimitée et à la maxime d'office (cf. TC FR du 5 mars 2020 précité, loc. cit.), ce grief doit être admis. 11.2.2 En ce qui concerne les frais de déplacement, le tribunal a pris en considération le montant de l’abonnement Mobilis pour sept zones pour un montant de 155.00 CHF (cf. jugement attaqué, p. 14). L’appelante se prévaut de frais de transport par 245.00 CHF sans toutefois expliquer les motifs pour lesquels il conviendrait d’augmenter ce montant qui correspond au demeurant aux prix affichés par la communauté tarifaire en question (https://www.mobilis-vaud.ch/fr/tarifs/). Insuffisamment motivé, le grief doit donc être rejeté dans la mesure où il est recevable.</w:t>
      </w:r>
    </w:p>
    <w:p>
      <w:r>
        <w:t>- 32 - 11.2.3 L’appelante soutient qu’il conviendrait d’ajouter aux charges du minimum vital LP d’E.X.________ un montant de 200.00 CHF à titre de frais de loisirs. Cependant, la prise en compte d’un poste supplémentaire comme les loisirs dans le minimum vital du droit de la famille est exclue. De tels besoins doivent le cas échéant être financés au moment de la répartition de l'excédent (TF 5A_365/2019 du 14 décembre 2020 consid. 5.4.3). Telle qu’exposée dans les arrêts récents du Tribunal fédéral, la méthode préconisée par celui-ci ne laisse pas de marge de manœuvre au juge qui lui permettrait d’introduire d’autres postes dans le minimum vital du droit des poursuites (ATF 147 III 265 consid. 7.2 ; TF 5A_365/2019 du 14 décembre 2020 consid. 5.4.2 et 5.4.3). 11.2.4 Cela étant et d’office dès lors que le minimum vital de droit de la famille s’applique, il convient d’intégrer la part d’impôt due pour E.X.________, sa prime d’assurance-maladie complémentaire de 46.00 CHF (pièce 10 du dossier de première instance) et un forfait de communication de 12.50 CHF, à savoir la moitié du disponible restant, dès lors que les besoins des enfants sont prioritaires (ATF 147 III 265 consid. 7.2 ; art. 276a al. 1 CC). 11.3 11.3.1 Il s'agit encore de se prononcer sur la durée de l'entretien dû en faveur d'E.X.________. L'appelante soutient qu'au terme de sa formation de niveau CFC le 15 août 2026, le montant de la contribution qui lui est dû devra être augmenté à hauteur du salaire qu’elle perçoit en tant qu'apprentie et qu'elle ne percevra plus ensuite. 11.3.2. 11.3.2.1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- 33 - L’entretien de l’enfant majeur selon l’art. 277 al. 2 CC est ainsi subordonné à la réalisation de deux conditions cumulatives : d’une part, le défaut de formation appropriée et, d’autre part, des circonstances permettant d’exiger des parents qu’ils continuent de subvenir à l’entretien de leur enfant notamment en fonction de leur situation économique actuelle, des dépenses qu’ils font pour d’autres enfants et des relations personnelles qu’ils entretiennent (ATF 120 II 177 consid. 3c ; TF 5A_246/2019 du 9 juin 2020 consid. 2.1 ; Meier, Entretien de l’enfant majeur : un état des lieux, in JdT 2019 II 4, spéc. p. 22 et les réf. citées). Le devoir d'entretien des père et mère de l'enfant majeur selon l’art. 277 al. 2 CC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5A_97/2017 du 23 août 2017 consid. 9.1 ; sur le tout, TC VS du 18 juin 2024 C1 22 64 consid. 4.1.1). 11.3.2.2 La prise en compte des ressources de l'enfant ne libère en principe que partiellement les père et mère de leur obligation, les montants touchés étant en général insuffisants pour couvrir l'entier des besoins de l'enfant.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 pouvoir d'appréciation (TF 5A_679/2019, 5A_681/2019 du 5 juillet 2021 consid. 11.1 ; TF 5A_246/2019 du 9 juin 2020 consid. 6.1.1 ; TF 5A_664/2015 du 25 janvier 2016 consid. 4.2, publié in FamPra.ch 2016 p. 519 ; sur le tout CACI 10 juin 2022/308 consid. 6.2).</w:t>
      </w:r>
    </w:p>
    <w:p>
      <w:r>
        <w:t>- 34 - 11.3.3 Le raisonnement de l'appelante ne saurait être suivi. En effet, elle n'allègue pas les motifs pour lesquels un montant devrait être payé après l'acquisition d'une première formation, tel que l’apprentissage entrepris. Il ne ressort pas de la procédure qu'E.X.________ ait l'intention de poursuivre des études après son apprentissage. Cela n’a en particulier été ni allégué par sa mère, ni déclaré par l’enfant lors de son audition du</w:t>
      </w:r>
    </w:p>
    <w:p>
      <w:r>
        <w:rPr>
          <w:b/>
        </w:rPr>
        <w:t>E. 21</w:t>
      </w:r>
    </w:p>
    <w:p>
      <w:r>
        <w:t>mars 2024. Il convient dès lors de s'en tenir au paiement de la contribution de l'enfant majeur jusqu'au terme de la formation en cours. 12. 12.1 L'appelante conteste les montants retenus pour le calcul des coûts directs de sa fille K.X.________. 12.2 12.2.1 Pour les mêmes motifs que ceux exposés pour E.X.________ (cf. consid. 11.2.3), il n’est pas possible de prendre en compte la facture du solfège (pièce 13, appel, all. 21) qui relève de la répartition de l’excédent. 12.2.2 En ce qui concerne la prime pour l'assurance obligatoire des soins et faute d’autre justification, il y a lieu de confirmer que cette prime est entièrement subsidiée (jugement attaqué, p. 15 et pièces 18 et 25 de première instance). 12.2.3 Pour les mêmes motifs que ceux exposés pour E.X.________, l’on ajoutera une part d’impôt, la prime d’assurance-maladie complémentaire de 25.90 CHF (pièce 12 du dossier de première instance) et un forfait de communication de 12.50 CHF, à savoir la moitié du disponible restant (cf. consid. 11.2.4 ci-dessus). 12.2.4 Par conséquent, le grief doit ainsi être partiellement admis, respectivement le jugement modifié d’office, pour la part d’impôt, la prime d’assurance-maladie complémentaire et le forfait de communication.</w:t>
      </w:r>
    </w:p>
    <w:p>
      <w:r>
        <w:t>- 35 - 13. 13.1 Compte tenu de ce qui précède, la situation des parties et de leurs enfants se présente comme il suit : 13.1.1 Appelante Appelante Montants Références revenu hypothétique CHF 3'095.90 6.2 supra base mensuelle selon normes OPF CHF 1'350.00 frais de logement (raisonnables) CHF 2'230.00 - év. participation enfant(s) CHF -669.00 charge finale de logement CHF 1'561.00 prime d'assurance-maladie (base) CHF 0.00 frais de déplacement (domicile &lt;--&gt; lieu CHF 78.00 8.3 supra de travail) CHARGES DU MINIMUM VITAL LP CHF 2'989.00 impôts (ICC / IFD) CHF 463.35 9.3.1 supra 11.2.4 et 12.2.3 - év. participation enfant(s) CHF -194.60 supra charge fiscale finale CHF 268.75 CHARGES DU MINIMUM VITAL DF CHF 3'257.75 CHF - DECOUVERT 161.85 13.1.2 Intimé En ce qui concerne l’intimé, il est rappelé que les montants libellés en euros dans les considérants qui précèdent ont été convertis en francs suisses dans le tableau ci-dessous sur la base de la parité du taux de change, solution retenue par les premiers juges et non contestée en appel. Intimé Montants Références CHF revenu hypothétique 1'398.69 CHF revenus locatif 1'275.00 CHF REVENUS 2'673.69</w:t>
      </w:r>
    </w:p>
    <w:p>
      <w:r>
        <w:t>- 36 - CHF base mensuelle selon normes OPF 780.00 CHF droit de visite (MV LP) 150.00 frais de déplacement (domicile &lt;--&gt; lieu de CHF 8.2 supra travail) 200.00 CHF CHARGES DU MINIMUM VITAL LP 1'130.00 CHF impôts en France 9.3.2 supra 184.00 CHF CHARGES DU MINIMUM VITAL DF 1'314.00 CHF DISPONIBLE 1'359.69 13.1.3 E.X.________ et K.X.________ ENFANTS MINEURS E.X.________ K.X.________ Références CHF CHF base mensuelle selon normes OPF 600.00 600.00 part. aux frais logement du CHF C H F CHF parent gardien 334.50 334.50 334.50 CHF 11.2.1 et prime d'assurance-maladie (base) 55.95 12.2.2 supra CHF frais de déplacement indispensables 11.2.2 supra 155.00 CHF CHF MINIMUM VITAL LP 1'145.45 934.50 9.3.1, 11.2.4 CHF CHF impôts (ICC / IFD) et 12.2.3 106.55 88.05 supra prime d'assurance-maladie CHF CHF 11.2.4 et (complémentaire) 46.00 25.90 12.2.3 supra CHF CHF 11.2.4 et télécommunication 12.50 12.50 12.2.3 supra CHF CHF MINIMUM VITAL DF 1'310.50 1'060.95 CHF CHF - allocations familiales ou de formation 400.00 300.00 CHF - revenus de l'enfant 473.90 CHF CHF COUTS DIRECTS (CD) 436.60 760.95 contribution de prise en charge (en % du 50.00% 50.00% découvert du parent gardien) contribution de prise en charge CHF CHF (montant) 80.90 80.90 CHF CHF participation à l'excédent 0.05 0.05 CHF CHF ENTRETIEN CONVENABLE (EC) 517.45 841.90 13.2 Il résulte des calculs qui précèdent un excédent inférieur au franc (1'359.69 CHF [disponible de l’intimé] - 161.85 CHF [découvert de</w:t>
      </w:r>
    </w:p>
    <w:p>
      <w:r>
        <w:t>- 37 - l’appelante] - 436.60 CHF [coûts directs E.X.________] - 760.95 CHF [coûts directs K.X.________]) sans effet sur le calcul des contributions d’entretien en faveur d’E.X.________ et de K.X.________ qui seront arrondies compte tenu de la situation des parties aux montants de 510.00 CHF pour la première et 840.00 CHF pour la seconde. 14. 14.1 Par requête du 4 janvier 2024, l’appelant a requis l'octroi de l'assistance judiciaire en deuxième instance. 14.2 Les conditions de l'art. 117 CPC étant remplies, le bénéfice de l'assistance judiciaire doit être accordé à l’appelante pour la procédure d'appel, Me Lucie Ben Hamza-Noir étant désigné en qualité de conseil d'office. 15. 15.1 En définitive, l’appel est partiellement admis et le jugement réformé en ce sens que l’intimé est astreint à contribuer à l’entretien de K.X.________ par le régulier versement d'une pension de 840.00 CHF, allocations familiales non comprises et dues en sus, payable d'avance le premier de chaque mois en mains de l’appelante, dès le jugement devenu définitif et exécutoire et jusqu'à sa majorité, puis au-delà en mains de la bénéficiaire, aux conditions de l'art. 277 al. 2 CC, et à l’entretien d’E.X.________ par le régulier versement d'une pension de 510.00 CHF, allocations familiales non comprises et dues en sus, payable d'avance le premier de chaque mois en mains de l’appelante, dès le jugement devenu définitif et exécutoire et aux conditions de l'art. 277 al. 2 CC. Le chiffre V du dispositif est modifié en ce sens. Le chiffre VIII est supprimé et remplacé par un chiffre Vbis. Le chiffre VI, qui concerne l’indexation des pensions des deux enfants et non plus de la seule K.X.________, est également modifié. 15.2</w:t>
      </w:r>
    </w:p>
    <w:p>
      <w:r>
        <w:t>- 38 - 15.2.1 Conformément à l'art. 318 al. 3 CPC, si la Cour de céans réforme le jugement, elle statue à nouveau sur les frais de première instance. 15.2.2 En l’espèce, le jugement de première instance est réformé sur la seule question des pensions des enfants et dans une mesure limitée, si bien qu’il n’y a pas lieu de revenir sur la répartition des frais et dépens arrêtée par le tribunal. 15.3 Les frais judiciaires de deuxième instance sont arrêtés à 600.00 CHF (art. 63 al. 1 TFJC [tarif des frais judiciaires civils du 28 septembre 2010 ; BLV 270.11.5]) et seront mis à la charge de l’intimé par 400.00 CHF dès lors que l'appelante obtient gain de cause sur une fraction de l’ordre des deux tiers de ses conclusions (art. 106 al. 2 CPC), et laissés provisoirement à la charge de l'Etat en ce qui concerne la part de l’appelante de 200.00 CHF qui bénéficie de l’assistance judiciaire (art. 122 al. 1 let. b CPC). Les pleins dépens peuvent être arrêtés à 3'300.00 CHF (art. 3 al. 2, 7, 19 al. 2 et 20 al. 2 TDC [tarif des dépens en matière civile du 23 novembre 2010 ; BLV 270.11.6]) et seront répartis dans la même proportion. L'intimé, non représenté, versera la somme de 2'200.00 CHF (66 %) à titre de dépens réduits de deuxième instance au conseil de l'appelante (cf. TF 4A_106/2021 du 8 août 2022 consid. 3.4). 15.4 15.4.1 Le conseil d’office a droit à une rémunération équitable pour ses opérations et débours dans la procédure d’appel (cf. art. 122 al. 1 let. a CPC). Le juge applique un tarif horaire de 180.00 CHF pour l’avocat (cf. art. 2 al. 1 RAJ [règlement sur l’assistance judiciaire en matière civile du 7 décembre 2010 ; BLV 211.02.3]). 15.4.2 Me Lucie Ben Hamza-Noir, conseil de l’appelante, a indiqué avoir consacré 500 minutes (8,33 heures) à la cause. Ce temps paraît raisonnable et peut être admis. Il en résulte que l'indemnité de Me Lucie</w:t>
      </w:r>
    </w:p>
    <w:p>
      <w:r>
        <w:t>- 39 - Ben Hamza-Noir s'élève à 1'500.00 CHF (8,33 h x 180.00 CHF) montant auquel s'ajoutent les débours, par 30.00 CHF (2 % de 1'500.00 CHF, art. 3bis al. 1 RAJ) et la TVA sur le tout, par 123.95 CHF, soit 1'653.95 CHF au total, arrondi à 1'654.00 CHF. Cette indemnité sera versée à Me Lucie Ben Hamza-Noir si les dépens de deuxième instance ne peuvent être recouvrés (art. 122 al. 2 CPC ; art. 4 RAJ). 15.5 Pour autant que l’indemnité d’office versée au conseil d’office de l’appelante soit avancée par l’Etat (art. 122 al. 2 CPC), la bénéficiaire de l’assistance judiciaire est tenue au remboursement de sa part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