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TI23.020488 vom 20. Mai 2025</w:t>
      </w:r>
    </w:p>
    <w:p>
      <w:r>
        <w:t>VD Tribunal cantonal, 2025-05-20, FR</w:t>
      </w:r>
    </w:p>
    <w:p>
      <w:r>
        <w:rPr>
          <w:b/>
        </w:rPr>
        <w:t xml:space="preserve">Quelle: </w:t>
      </w:r>
      <w:r>
        <w:t>https://mcp.opencaselaw.ch/entscheid/vd_gerichte_TI23.020488</w:t>
      </w:r>
    </w:p>
    <w:p>
      <w:r>
        <w:t>FR: VD_GERICHTE TI23.020488 du 20 mai 2025</w:t>
      </w:r>
    </w:p>
    <w:p>
      <w:r>
        <w:t>IT: VD_GERICHTE TI23.020488 del 20 maggio 2025</w:t>
      </w:r>
    </w:p>
    <w:p>
      <w:pPr>
        <w:pStyle w:val="Heading2"/>
      </w:pPr>
      <w:r>
        <w:t>Erwägungen</w:t>
      </w:r>
    </w:p>
    <w:p>
      <w:r>
        <w:rPr>
          <w:b/>
        </w:rPr>
        <w:t>E. 1</w:t>
      </w:r>
    </w:p>
    <w:p>
      <w:r>
        <w:t>Le 6 mars 2025, le Tribunal civil de l’arrondissement de Lausanne (ci-après : les premiers juges) a rendu un jugement dans la cause en constatation de filiation opposant les parties.</w:t>
      </w:r>
    </w:p>
    <w:p>
      <w:r>
        <w:rPr>
          <w:b/>
        </w:rPr>
        <w:t>E. 2</w:t>
      </w:r>
    </w:p>
    <w:p>
      <w:r>
        <w:t>Par acte – non daté – adressé aux premiers juges, reçu au greffe de la Cour de céans le 30 avril 2025, F.________ (ci-après : l’appelant) a fait appel de ce jugement. Z.________ (ci-après : l’intimée) n’a pas été invitée à répondre.</w:t>
      </w:r>
    </w:p>
    <w:p>
      <w:r>
        <w:rPr>
          <w:b/>
        </w:rPr>
        <w:t>E. 3.1.1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Les affaires relevant du droit de la famille ne sont pas patrimoniales, sauf si l'appel ne porte que sur les aspects financiers (TF 5A_260/2019 du 5 novembre 2019 consid. 1 et réf. cit. ; Jeandin, Commentaire romand, Code de procédure civile, 2e ed., Bâle 2019, nn. 12 et 19 ad art. 308 CPC et réf. cit.).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3.1.2.1</w:t>
      </w:r>
    </w:p>
    <w:p>
      <w:r>
        <w:t>En vertu de l'art. 311 al. 1 CPC, il incombe à l’appelant de motiver son appel. Selon la jurisprudence, il doit démontrer le caractère erroné de la motivation de la décision attaquée et son argumentation doit</w:t>
      </w:r>
    </w:p>
    <w:p>
      <w:r>
        <w:t>- 3 -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(ATF 147 III 176 consid. 4.2.1, RSPC 2021 252 ; ATF 141 III 569 consid. 2.3.3 ; TF 4A_463/2023 du 24 avril 2024 consid. 4.1 et les nombreuses réf. cit.).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(TF 4A_463/2023 précité consid. 4.1). En outre, les parties doivent formuler leurs griefs de façon complète dans le délai d'appel ou de réponse à l'appel ; un éventuel second échange d'écritures ou l'exercice d'un droit de réplique ne peut servir à compléter une critique insuffisante ou à formuler de nouveaux griefs (ATF 142 III 413 consid. 2.2.4 in fine et réf. cit. ; TF 4A_463/2023 précité consid. 4.1).</w:t>
      </w:r>
    </w:p>
    <w:p>
      <w:r>
        <w:rPr>
          <w:b/>
        </w:rPr>
        <w:t>E. 3.1.2.2</w:t>
      </w:r>
    </w:p>
    <w:p>
      <w:r>
        <w:t>L'art. 311 al. 1 CPC exige que l'appel soit écrit et motivé. Certes, cette disposition ne parle que d'une motivation, mais celle-ci doit précisément permettre à l’appelant d'étayer ses conclusions et suppose dès lors celles-ci. Il faut donc que l'appelant explicite dans quelle mesure la décision attaquée doit être modifiée ou annulée. Ces conclusions doivent en principe être libellées de telle manière que l'autorité d'appel puisse, s'il y a lieu, les incorporer sans modification au dispositif de sa</w:t>
      </w:r>
    </w:p>
    <w:p>
      <w:r>
        <w:t>- 4 - propre décision. Si nécessaire et à l'instar de toute déclaration en procédure, les conclusions doivent être interprétées de bonne foi, en particulier sur la base de la motivation qui les accompagne. S'agissant de conclusions pécuniaires, l'appel doit en outre contenir des conclusions chiffrées (ATF 137 III 617 consid. 4.2, 4.3 et 6.2, JdT 2012 III 23 et réf. cit. ; TF 5A_779/2021 et 5A_787/2021 du 16 décembre 2022 consid. 3.1 et réf. cit. ; TF 5A_978/2018 du 15 avril 2019 consid. 1.2). L'appelant ne saurait, sous peine d'irrecevabilité, se limiter à conclure à l'annulation de la décision attaquée, l'appel ordinaire ayant un effet réformatoire, et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JdT 2012 III 23 ; TF 5A_342/2022 du 26 octobre 2022 consid. 2.1.2 et réf. cit. ; TF 4A_426/2019 du 12 septembre 2019 consid. 5.1).</w:t>
      </w:r>
    </w:p>
    <w:p>
      <w:r>
        <w:rPr>
          <w:b/>
        </w:rPr>
        <w:t>E. 3.1.2.3</w:t>
      </w:r>
    </w:p>
    <w:p>
      <w:r>
        <w:t>Il ne saurait être remédié à un défaut de motivation ou à des conclusions déficientes, de tels vices n'étant pas d'ordre formel et affectant le recours de manière irréparable, ce même si le mémoire émane d'une personne sans formation juridique (ATF 137 III 617 consid. 6.4 précité ; TF 5A_959/2023 du 23 janvier 2024 consid. 3.2). En particulier, l’octroi d’un délai au sens de l’art. 132 CPC ne permet pas de compléter ou d’améliorer une motivation ou des conclusions déficientes (TF 5A_23/2019 du 3 juillet 2019 consid. 3.2.2 ; TF 5A_368/2018 du 25 avril 2019 consid. 4.3.4). Il en va de même de l'art. 56 CPC, qui impose au juge un devoir d’interpellation et concerne les allégations de fait (TF 5A_483/2018 du 23 octobre 2018 consid. 3.2 ; TF 5A_488/2015 du 21 août 2015 consid. 3.2.2).</w:t>
      </w:r>
    </w:p>
    <w:p>
      <w:r>
        <w:rPr>
          <w:b/>
        </w:rPr>
        <w:t>E. 3.2</w:t>
      </w:r>
    </w:p>
    <w:p>
      <w:r>
        <w:t>En l’espèce, l’appelant se limite à indiquer qu’il n’aurait pas réussi à mandater un avocat et à fournir quelques éléments sur sa situation personnelle et familiale. Il n’expose ainsi aucunement en quoi le raisonnement des premiers juges serait erroné et ne prend aucune</w:t>
      </w:r>
    </w:p>
    <w:p>
      <w:r>
        <w:t>- 5 - conclusion chiffrée. Partant, faute de conclusion et de motivation satisfaisant aux exigences de l’art. 311 al. 1 CPC, ce qui constitue un vice irréparable, il ne peut pas être entré en matière sur l’appel, étant rappelé qu’aucun délai ne saurait être imparti à l’appelant pour corriger ces défauts.</w:t>
      </w:r>
    </w:p>
    <w:p>
      <w:r>
        <w:rPr>
          <w:b/>
        </w:rPr>
        <w:t>E. 4.1</w:t>
      </w:r>
    </w:p>
    <w:p>
      <w:r>
        <w:t>Il résulte de ce qui précède que l’appel doit être déclaré irrecevable, en application de l’art. 312 al. 1 in fine CPC.</w:t>
      </w:r>
    </w:p>
    <w:p>
      <w:r>
        <w:rPr>
          <w:b/>
        </w:rPr>
        <w:t>E. 4.2</w:t>
      </w:r>
    </w:p>
    <w:p>
      <w:r>
        <w:t>L’arrêt est rendu sans frais judiciaires de deuxième instance, aucune avance n’ayant été demandée (art. 11 TFJC [tarif des frais judiciaires civils du 28 septembre 2010 ; BLV 270.11.5]). Au demeurant,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