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TI21.012239 vom 3. Mai 2022</w:t>
      </w:r>
    </w:p>
    <w:p>
      <w:r>
        <w:t>VD Tribunal cantonal, 2022-05-03, FR</w:t>
      </w:r>
    </w:p>
    <w:p>
      <w:r>
        <w:rPr>
          <w:b/>
        </w:rPr>
        <w:t xml:space="preserve">Quelle: </w:t>
      </w:r>
      <w:r>
        <w:t>https://mcp.opencaselaw.ch/entscheid/vd_gerichte_TI21.012239</w:t>
      </w:r>
    </w:p>
    <w:p>
      <w:r>
        <w:t>FR: VD_GERICHTE TI21.012239 du 3 mai 2022</w:t>
      </w:r>
    </w:p>
    <w:p>
      <w:r>
        <w:t>IT: VD_GERICHTE TI21.012239 del 3 maggio 2022</w:t>
      </w:r>
    </w:p>
    <w:p>
      <w:pPr>
        <w:pStyle w:val="Heading2"/>
      </w:pPr>
      <w:r>
        <w:t>Volltext</w:t>
      </w:r>
    </w:p>
    <w:p>
      <w:r>
        <w:t>TRIBUNAL CANTONAL TI21.012239-211857 232 CO UR D’APPEL CIVI L E ____________________________ Arrêt du 3 mai 2022 _____________________ Composition : Mme CRITTIN DAYEN, juge déléguée Greffière : Mme Bourqui ***** Art. 52, 272, 311 al. 1 et 312 al. 1 CPC Statuant sur l’appel interjeté par Q.________, à [...] (France), intimé, contre l’ordonnance de mesures provisionnelles rendue le 17 novembre 2021 par le Président du Tribunal civil de l’arrondissement de La Côte dans la cause divisant l’appelant d’avec A.________, à [...], requérante, représentée par sa curatrice, l’avocate Christel Burri, la Juge déléguée de la Cour d’appel civile du Tribunal cantonal considère : 1104</w:t>
      </w:r>
    </w:p>
    <w:p>
      <w:r>
        <w:t>- 2 - En fait et e n droi t : 1. Par demande du 12 mars 2021, A.________, née le [...] 2017, agissant par l'intermédiaire de sa curatrice, l'avocate Christel Burri, a notamment conclu à ce qu’il soit constaté que Q.________, né le [...] 1981, est son père. La mère de l’intimée, T.________, et Q.________ sont les parents d'un autre enfant, Y.________, né le [...] 2009. Le lien de filiation entre l’appelant et Y.________ est établi. 2. Par requête de mesures provisionnelles du 12 mars 2021, A.________ a notamment conclu, avec suite de frais et dépens, à ce que Q.________ lui verse une contribution d'entretien mensuelle dont le montant devrait être précisé après établissement des revenus et des charges de chacune des parties, dès le 12 mars 2020. Par acte du 15 juin 2021, A.________ a précisé ses conclusions en ce sens que Q.________ lui verse une contribution d’entretien mensuelle de 1'360 fr. 10, dès le 12 mars 2020. Une audience de mesures provisionnelles s’est tenue le 30 août 2021 par-devant le Président du Tribunal civil de l’arrondissement de La Côte (ci-après : le président ou le premier juge), en présence de la curatrice d’A.________. Q.________, bien que régulièrement cité, ne s’est pas présenté. T.________ a été entendue en qualité de témoin. Elle a renseigné le président sur sa situation financière. Elle a outre précisé qu’elle n’avait pas communiqué avec Q.________ au sujet de l’audience et que, s’agissant de la procédure, il s’en désintéressait car il estimait qu’elle était une bonne mère. La curatrice de l’enfant a sollicité un délai pour prendre contact avec le père. Par courrier du 21 septembre 2021, la curatrice d’A.________ a informé le président que ses sollicitations par courriel à Q.________ étaient</w:t>
      </w:r>
    </w:p>
    <w:p>
      <w:r>
        <w:t>- 3 - restées vaines et qu’elle n’était dès lors pas en mesure de déposer des conclusions en tenant compte de la situation financière de ce dernier. Elle a ainsi conclu à ce que Q.________ contribue à l’entretien d’A.________ par le versement d’une pension mensuelle, d’avance le premier de chaque mois, en mains de sa mère, d’un montant de 1'360 fr. 10 dès le 12 mars 2020 jusqu’au 30 mai 2021, puis de 1'650 fr. 10 dès le 1er juin 2021. 3. Par ordonnance de mesures provisionnelles du 17 novembre 2021, le premier juge a dit que Q.________ contribuerait à l’entretien d’A.________ par le régulier versement d’une contribution d’entretien mensuelle de 950 fr., allocations familiales non comprises et dues en sus, payable d’avance le premier de chaque mois à T.________, dès et y compris le 1er avril 2020 (I), a renvoyé la question des frais et des dépens ainsi que la décision sur l’indemnité d’office du conseil d’A.________ à une décision ultérieure (II et III) et a rejeté toutes autres ou plus amples conclusions. Par courrier du 29 novembre 2021, Q.________ (ci-après : l’appelant) a contesté la décision entreprise en soutenant que le calcul de ses dépenses était erroné. A.________ (ci-après : l’intimée) n’a pas été invitée à se déterminer. 4.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w:t>
      </w:r>
    </w:p>
    <w:p>
      <w:r>
        <w:t>- 4 - protectrices de l’union conjugale (art. 84 al. 2 LOJV [loi d’organisation judiciaire du 12 décembre 1979 ; BLV 173.021]). En l’espèce, l’appel, déposé en temps utile par une partie qui a un intérêt digne de protection (art. 59 al. 2 let. a CPC), est recevable sous cet angle. 5. 5.1 5.1.1 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4D_8/2013 du 15 février 2013 consid. 4.2 ; TF 4A_383/2013 du 2 décembre 2013 consid. 3.2.1, in RSPC 2014 p. 221). Des conclusions non chiffrées suffisent exceptionnellement lorsque la</w:t>
      </w:r>
    </w:p>
    <w:p>
      <w:r>
        <w:t>- 5 - somme à allouer est d'emblée reconnaissable au regard de la motivation du recours ou de la décision attaquée, voire du rapprochement des deux actes (ATF 134 III 235 consid. 2 et les références ; TF 5A_766/2008 du 4 février 2009 consid. 2.2, publié in FamPra.ch 2009 p. 422). 5.1.2 L'appel doit être motivé.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 TF 5A_396/2013 du 26 février 2014 consid. 5.3.1 ; Colombini, CPC Condensé de jurisprudence, 2018, n. 8.2.1 ad art. 311 CPC et les réf. cit.).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w:t>
      </w:r>
    </w:p>
    <w:p>
      <w:r>
        <w:t>- 6 - contient que des critiques toutes générales et superficielles de la décision attaquée ou encore si elle ne fait que renvoyer aux moyens soulevés en première instance (notamment aux notes de plaidoiries déposées en première instance : TF 4A_580/2015 du 11 avril 2016 consid. 2.2, non publié à l’ATF 142 III 271), elle ne satisfait pas aux exigences de l'art. 311 al. 1 CPC et l'instance d'appel ne peut entrer en matière (TF 5A_577/2020 du 16 décembre 2020 consid. 5 ; TF 5A_356/2020 du 9 juillet 2020 consid. 3.2 ; TF 4A_396/2019 du 16 janvier 2020 consid. 3.3.1 ; Colombini, ibidem).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 TF 5A_488/2015 du 21 août 2015 consid. 3.2.2 ; TF 4A_659/2011 du 7 décembre 2011 consid. 5, RSPC 2012 p. 128 ; Colombini, op. cit., n. 8.7.1 ad art. 311 CPC et les réf. cit.). Il en va de même de l'art. 56 CPC, qui concerne les allégations de fait et n'est donc pas applicable en cas d'absence de motivation d'un acte de recours (TF 5A_483/2018 du 23 octobre 2018 consid. 3.2 ; Colombini, ibidem). Il en résulte qu’à défaut de motivation suffisante, l'appel est d’emblée irrecevable, sans qu’il y ait lieu à interpellation de la partie (TF 5A_209/2014 du 2 septembre 2014 consid. 4.2.1 ; TF 4A_97/2014 du 26 juin 2014 consid. 3.3 ; TF 4A_651/2012 du 7 février 2013 consid. 4.2 ; cf. déjà JdT 2011 III 184). Il n'y a en particulier pas lieu, dans un tel cas, de statuer sur la base du dossier (TF 5A_438/2012 du 27 août 2012 consid. 2.4, RSPC 2013 p. 29 ; Colombini, op. cit., n. 8.7.3 ad art. 311 CPC). 5.1.3 Dans le cadre de mesures provisionnelles, le juge établit les faits d'office en vertu de la maxime inquisitoire (art. 272 CPC) et statue en</w:t>
      </w:r>
    </w:p>
    <w:p>
      <w:r>
        <w:t>- 7 - application de la procédure sommaire (art. 271 let. a CPC). Il se prononce ainsi sur la base de la simple vraisemblance, après une administration limitée des preuves (ATF 127 III 474 consid. 2b/bb), en se fondant sur les moyens de preuve immédiatement disponibles (ATF 131 III 473 consid. 2.3), ce qui exclut les mesures d'instruction coûteuses (TF 5A_610/2012 du 20 mars 2013 consid. 1.3). Il suffit donc que les faits soient rendus plausibles (ATF 130 III 102 consid. 2.2 ; TF 5A_855/2017 du 11 avril 2018 consid. 4.3.2 et les réf. citées). Selon la jurisprudence, l'art. 272 CPC prévoit une maxime inquisitoire dite sociale ou limitée, qui n'oblige pas le juge à rechercher lui- 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En revanche,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 5.2 Le présent appel ne comporte ni conclusions chiffrées ni motivation respectant les conditions de la jurisprudence précitée. L’appelant se contente de soutenir que l’établissement de ses charges serait erroné, en les estimant plus élevées. Il se dit en outre prêt à fournir les éléments permettant le recalcul des frais et des montants des</w:t>
      </w:r>
    </w:p>
    <w:p>
      <w:r>
        <w:t>- 8 - contributions d’entretien à verser mensuellement. On peut ainsi comprendre qu’il ne s’estime pas en mesure d’assumer les contributions d’entretien telles que fixées par le premier juge. Il ne précise cependant pas le montant auquel il voudrait voir réduites ces pensions, et la lecture des arguments invoqués dans son appel ne permet pas de le déterminer. La motivation de l’appel ne permet pas le réexamen de l’ordonnance entreprise et est donc insuffisante. L’appelant remet en cause la fixation de la contribution d’entretien due en faveur de l’intimée en contestant ses charges. Or, ces charges auraient dû être invoquées devant le premier juge et le cas échéant, les pièces y afférentes auraient dû être produites à ce moment-là, si l’appelant avait procédé et fait preuve de la diligence requise. Même si la procédure est soumise à la maxime inquisitoire illimitée, cela ne dispense pas l’appelant de son obligation de collaborer activement à la procédure et de renseigner le juge sur sa situation financière. En l’occurrence, après avoir été informé de l’ouverture de la procédure, régulièrement cité à comparaître à l’audience de mesures provisionnelles et personnellement sollicité par l’intimée par courriel, l’appelant n’a jamais procédé et n’a par conséquent pas produit de pièces susceptibles d’établir sa situation financière. Il ne produit en outre rien en appel, se limitant à se dire prêt à fournir les éléments permettant le calcul de ses charges. Dans ces circonstances, il paraît malvenu de contester les contributions d’entretien mises à sa charge en procédure d’appel, alors qu’il n’a porté aucun intérêt à la procédure de première instance et n’a pas collaboré à l’administration des moyens de preuve. Eu égard à l’interdiction de l’abus de droit découlant de l’art. 52 CPC et faute de conclusions et de motivation suffisante, qui constitue un vice irréparable, il ne peut être entré en matière sur cet appel. 6. Compte tenu de ce qui précède, l’appel doit être déclaré irrecevable selon le mode procédural de l’art. 312 al. 1 CPC. Vu l’issue du litige, les frais judiciaires de deuxième instance, arrêtés à 600 fr. (art. 63 al. 1 et 65 al. 2 TFJC [tarif des frais judiciaires en</w:t>
      </w:r>
    </w:p>
    <w:p>
      <w:r>
        <w:t>- 9 - matière civile du 28 septembre 2010 ; BLV 270.11.5]), sont mis à la charge de l’appelant (art. 106 al. 1 CPC). Il n’y a pas matière à l’allocation de dépens, l’intimée n’ayant pas été invitée à se déterminer. Par ces motifs, la Juge déléguée de la Cour d’appel civile prononce : I. L’appel est irrecevable. II. Les frais judiciaires de deuxième instance, arrêtés à 600 fr. (six cents francs), sont mis à la charge de l’appelant Q.________. III. L’arrêt est exécutoire. La juge déléguée : La greffière :</w:t>
      </w:r>
    </w:p>
    <w:p>
      <w:r>
        <w:t>- 10 - Du Le présent arrêt, dont la rédaction a été approuvée à huis clos, est notifié en expédition complète à : - M. Q.________ (personnellement), - Me Christel Burri (pour A.________), - Mme T.________ (personnellement),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