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TI19.033060 vom 15. November 2021</w:t>
      </w:r>
    </w:p>
    <w:p>
      <w:r>
        <w:t>VD Tribunal cantonal, 2021-11-15, FR</w:t>
      </w:r>
    </w:p>
    <w:p>
      <w:r>
        <w:rPr>
          <w:b/>
        </w:rPr>
        <w:t xml:space="preserve">Quelle: </w:t>
      </w:r>
      <w:r>
        <w:t>https://mcp.opencaselaw.ch/entscheid/vd_gerichte_TI19.033060</w:t>
      </w:r>
    </w:p>
    <w:p>
      <w:r>
        <w:t>FR: VD_GERICHTE TI19.033060 du 15 novembre 2021</w:t>
      </w:r>
    </w:p>
    <w:p>
      <w:r>
        <w:t>IT: VD_GERICHTE TI19.033060 del 15 novembre 2021</w:t>
      </w:r>
    </w:p>
    <w:p>
      <w:pPr>
        <w:pStyle w:val="Heading2"/>
      </w:pPr>
      <w:r>
        <w:t>Erwägungen</w:t>
      </w:r>
    </w:p>
    <w:p>
      <w:r>
        <w:rPr>
          <w:b/>
        </w:rPr>
        <w:t>E. 3</w:t>
      </w:r>
    </w:p>
    <w:p>
      <w:r>
        <w:t>L’appelant requiert le versement d’une contribution d’entretien de la part de l’intimé.</w:t>
      </w:r>
    </w:p>
    <w:p>
      <w:r>
        <w:rPr>
          <w:b/>
        </w:rPr>
        <w:t>E. 3.1.1</w:t>
      </w:r>
    </w:p>
    <w:p>
      <w:r>
        <w:t>Selon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t>- 10 -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w:t>
      </w:r>
    </w:p>
    <w:p>
      <w:r>
        <w:rPr>
          <w:b/>
        </w:rPr>
        <w:t>E. 3.1.2</w:t>
      </w:r>
    </w:p>
    <w:p>
      <w:r>
        <w:t>Dans un arrêt relativement récent (ATF 147 III 265), le Tribunal fédéral a considéré que pour arrêter les coûts directs de l’enfant (Barunterhalt), il y avait lieu de se fonder sur la méthode en deux étapes avec répartition de l’excédent, qui se base sur les frais de subsistance (ATF 147 III 265 consid. 6.1). Cette méthode a vocation à s’appliquer à l’échelle de la Suisse en ce qui concerne l’entretien de l’enfant – et celui</w:t>
      </w:r>
    </w:p>
    <w:p>
      <w:r>
        <w:t>- 11 -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(ATF 147 III 293 consid. 4.5 in fine) – (cf. ATF 147 III 265 consid. 6.6 in fine). 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t>- 12 -</w:t>
      </w:r>
    </w:p>
    <w:p>
      <w:r>
        <w:rPr>
          <w:b/>
        </w:rPr>
        <w:t>E. 3.1.3</w:t>
      </w:r>
    </w:p>
    <w:p>
      <w:r>
        <w:t>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w:t>
      </w:r>
    </w:p>
    <w:p>
      <w:r>
        <w:rPr>
          <w:b/>
        </w:rPr>
        <w:t>E. 3.1.4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w:t>
      </w:r>
    </w:p>
    <w:p>
      <w:r>
        <w:t>- 13 -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3.2</w:t>
      </w:r>
    </w:p>
    <w:p>
      <w:r>
        <w:t>L’appelant reproche au tribunal d’avoir imputé à l’intimé un revenu hypothétique portugais de 1’105 fr. par mois. Il fait valoir que rien ne permettrait de soutenir que l’intimé aurait l’ensemble de ses liens affectifs au Portugal et que celui-ci aurait au contraire plus d’attaches avec la Suisse, parce qu’il y a vécu durant seize ans et qu’il devrait donc s’y être intégré sur plusieurs plans, notamment profes-sionnel, amical et affectif. L’appelant ajoute que les premiers juges ne pouvaient pas savoir où se trouvait l’intimé lorsqu’ils ont rendu leur jugement et qu’ils ne pouvaient dès lors pas être convaincus que l’intéressé était domicilié au Portugal, de sorte qu’il ne peut être exclu que ce dernier soit retourné en Suisse. Il considère enfin que l’intimé pourrait trouver un emploi comme ouvrier sur le territoire helvétique et réaliser un salaire correspondant au niveau de vie de ce pays. Ainsi, selon l’appelant, il conviendrait de lui imputer au minimum un revenu hypothétique mensuel net de 4’576 francs.</w:t>
      </w:r>
    </w:p>
    <w:p>
      <w:r>
        <w:rPr>
          <w:b/>
        </w:rPr>
        <w:t>E. 3.2.1.1</w:t>
      </w:r>
    </w:p>
    <w:p>
      <w:r>
        <w:t>Selon la jurisprudence, le juge fixe les contributions d’entretien du droit de la famille en se fondant, en principe, sur le revenu effectif des parties. Il peut toutefois s’en écarter et retenir un revenu hypothétique supérieur (ATF 128 III 4 consid. 4, JdT 2002 I 294 consid. 4 et les références citées ; TF 5A_290/2010 du 28 octobre 2010 consid. 3.1).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w:t>
      </w:r>
    </w:p>
    <w:p>
      <w:r>
        <w:t>- 14 -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comme les conventions collectives de travail (TF 5A_454/2017 du 17 mai 2018 consid. 6.1.1 et les références citées, non publié aux ATF 144 III 377).</w:t>
      </w:r>
    </w:p>
    <w:p>
      <w:r>
        <w:rPr>
          <w:b/>
        </w:rPr>
        <w:t>E. 3.2.1.2</w:t>
      </w:r>
    </w:p>
    <w:p>
      <w:r>
        <w:t>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FamPra.ch 2020 p. 488 ; TF 5A_763/2013 du 11 avril 2014 consid. 3.1 ; TF 5A_513/2012 du 17 octobre 2012 consid. 4). En particulier un départ à l’étranger peut rester sans effet lorsque la poursuite d’une activité en Suisse est exigible (TF 5A_90/2017 du 24 août 2017 consid. 5.3.1 ; TF 5A_513/2012 du 17 octobre 2012 consid. 5, FamPra.ch 2013 p. 236). Le débiteur des contributions d’entretien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 TF 5A_98/2007 du 8</w:t>
      </w:r>
    </w:p>
    <w:p>
      <w:r>
        <w:t>- 15 - juin 2007 consid. 3.3), respectivement un revenu suisse correspondant à sa formation, son expérience, son âge, son état de santé et à la situation du marché (TF 5A_90/2017 du 24 août 2017 consid. 5.3.1). Un débiteur d’entretien vivant à l’étranger ne peut se voir imputer un revenu hypothétique de niveau suisse s’il ne peut juridiquement et dans les faits être exigé de lui de s’établir en Suisse et s’il avait suffisamment de raisons personnelles et sociales de quitter la Suisse. Dans un tel cas, il convient de se baser sur le revenu que le débiteur d’entretien perçoit ou pourrait percevoir en son lieu de séjour étranger (FamPra.ch. 2011 p. 510). Le Tribunal fédéral n’a pas retenu de revenu hypothétique dans le cas d’un débiteur qui avait des raisons fondées de retourner dans son pays d’origine après la séparation d’avec la mère des enfants créanciers et qui a refait sa vie dans ce pays en s’y remariant, sans qu’un retour en Suisse, où il n’a aucune attache et voit peu ses enfants, ne puisse être envisagé quelques années plus tard (TF 5A_513/2012 du 17 octobre 2012 consid. 4, in FamPra.ch 2013 p. 236). On ne peut imputer un revenu hypothétique « suisse » au débirentier qui vit depuis dix ans à l’étranger, où il a accompli toute sa carrière professionnelle et où il a toutes ses relations sociales (TF 5A_90/2017 du 24 août 2017 consid. 5.3.3 ; CACI 1er juillet 2020/278 consid. 5).</w:t>
      </w:r>
    </w:p>
    <w:p>
      <w:r>
        <w:rPr>
          <w:b/>
        </w:rPr>
        <w:t>E. 3.2.2</w:t>
      </w:r>
    </w:p>
    <w:p>
      <w:r>
        <w:t>En l’espèce, il ressort des pièces du dossier que l’intimé est arrivé en Suisse le 3 octobre 2003 et qu’il y a vécu jusqu’au 31 décembre 2019, soit durant environ seize ans. Il a également été au bénéfice d’un permis d’établissement à compter du 24 octobre 2016 jusqu’à son départ au Portugal. Il apparaît ainsi que l’intéressé a vécu de manière ininterrompue en Suisse durant plusieurs années. Dans ces circonstances, il y a lieu de considérer que l’intimé dispose de liens importants en Suisse, qu’il a pu s’intégrer dans ce pays, que ce soit socialement ou professionnellement, et qu’il peut donc y réaliser un revenu.</w:t>
      </w:r>
    </w:p>
    <w:p>
      <w:r>
        <w:t>- 16 - L’intimé, n’ayant pas participé à la présente procédure faute de domicile connu, n’a fait valoir aucun argument permettant de justifier son départ à l’étranger et l’impossibilité de retourner ou de s’établir en Suisse. Il n’a pas non plus été en mesure d’indiquer s’il avait des raisons suffisantes de quitter le territoire helvétique. Aucune raison sérieuse pouvant fonder un tel départ ne figure par ailleurs au dossier. Au vu des éléments qui précèdent, l’intimé doit se voir imputer son départ de Suisse et c’est à tort que le tribunal a estimé, d’une part, que l’intéressé avait vraisemblablement l’ensemble de ses liens affectifs au Portugal et qu’il ne pouvait lui être reproché d’être retourné dans ce pays et, d’autre part, qu’il fallait lui imputer un revenu hypothétique sur la base d’un salaire portugais. En l’occurrence, il doit être attendu de l’intimé qu’il s’acquitte de ses obligations d’entretien sur la base d’un revenu de niveau suisse. Si l’intéressé était libre de transférer son domicile à l’étranger, il ne pouvait toutefois pas le faire, faute de motifs suffisants, au détriment du créancier d’entretien. De plus, à ce stade, le fait que l’intimé ait quitté la Suisse postérieurement à la naissance de l’enfant peut laisser penser qu’il l’a fait pour échapper à ses obligations d’entretien. Enfin, le départ à l’étranger est suffisamment récent pour qu’il ne soit pas retenu qu’un retour en Suisse de l’intéressée serait inenvisageable. Afin de déterminer le revenu hypothétique, il y a lieu de considérer que l’intimé peut raisonnablement trouver un emploi dans le domaine de la construction ne nécessitant pas de formation ni d’expérience professionnelle, ce dernier n’ayant, à la lecture du dossier, aucune circonstance à faire valoir justifiant qu’il ne pourrait pas être exigé de lui qu’il exerce une telle activité. Selon le Calculateur statistique de salaire figurant sur le site Internet de la Confédération suisse tel que produit par l’appelant, il apparaît que l’intimé pourrait travailler à plein temps, soit 42 heures par semaine, dans la région lémanique et être en mesure de réaliser un salaire brut de l’ordre de 5’200 fr. par mois (pour le détail, cf. pièce 7), dont il y a lieu de déduire les charges sociales par 12%. Partant, il convient de lui imputer un revenu mensuel net hypothétique de 4’575 fr. – non contesté par l’intimé.</w:t>
      </w:r>
    </w:p>
    <w:p>
      <w:r>
        <w:t>- 17 -</w:t>
      </w:r>
    </w:p>
    <w:p>
      <w:r>
        <w:rPr>
          <w:b/>
        </w:rPr>
        <w:t>E. 3.3</w:t>
      </w:r>
    </w:p>
    <w:p>
      <w:r>
        <w:t>Dès lors que le revenu hypothétique a été calculé sur la base d’un salaire suisse, il convient d’adapter les charges mensuelles retenues par le tribunal en conséquence. A cet égard, il y a lieu d’admettre les montants avancés par l’appelant, qui sont adéquats. Ainsi, la base mensuelle de l’intimé sera arrêtée à 1’200 fr. et le loyer de celui-ci à 1’000 francs. En outre, il sera tenu compte d’une prime d’assurance-maladie estimée, vu la classe d’âge de l’intéressé, à 450 fr. par mois. Ainsi, les charges mensuelles de l’intimé doivent être fixées à 2’650 francs.</w:t>
      </w:r>
    </w:p>
    <w:p>
      <w:r>
        <w:rPr>
          <w:b/>
        </w:rPr>
        <w:t>E. 3.4</w:t>
      </w:r>
    </w:p>
    <w:p>
      <w:r>
        <w:t>Il convient de calculer la contribution d’entretien due à l’appelant. Celle-ci doit être répartie sur deux périodes, à savoir une première jusqu’aux dix ans révolus de l’appelant, à savoir au 30 avril 2024, puis une seconde à compter du 1er mai 2024, dès lors que la base mensuelle de l’intéressé augmentera alors à 600 francs. L’appelant ne conteste pas le montant de ses coûts directs, par 738 fr. 70 – 938 fr. 70 lorsque qu’il aura atteint l’âge de dix ans –, le revenu hypothétique de 1’900 fr. nets par mois imputé à sa mère et les charges de celles-ci de 2’654 fr. 90, tels qu’arrêtés par les premiers juges. Ces paramètres doivent donc être confirmés. L’entretien convenable de l’appelant s’élève par conséquent, allocations familiales déduites, à un montant arrondi de 1’200 fr. ([738 fr. 70 - 300 fr.] + 754 fr. 90 = 1’193 fr. 60) pour la première période et à un montant arrondi de 1'400 fr. pour la seconde ([938 fr. 70 - 300 fr.] + 754 fr. 90 = 1’393 fr. 60). L’intimé dispose d’un disponible de 1’925 fr. (4’575 fr. - 2’650 fr.). Celui-ci est suffisant pour couvrir l’entretien convenable de l’appelant. Après couverture de cet entretien convenable, il reste à l’intimé un excédent de 725 fr. pour la première période et de 525 fr. pour la seconde.</w:t>
      </w:r>
    </w:p>
    <w:p>
      <w:r>
        <w:t>- 18 - L’appelant ne réclame aucune part de cet excédent. Compte tenu du fait que les charges de l’intimé ont été estimées et calculées au plus juste, il se justifie de renoncer au partage de ce disponible et de l’attribution d’un montant à ce titre à l’appelant. De plus, on relève que des frais de loisirs, par 50 fr., ont été retenus par les premiers juges dans les charges de l’enfant et pris en compte dans son entretien convenable alors que ce poste devrait, selon la jurisprudence, en principe être financé par l’excédent éventuel (cf. ATF 147 III 263 consid. 7.2).</w:t>
      </w:r>
    </w:p>
    <w:p>
      <w:r>
        <w:rPr>
          <w:b/>
        </w:rPr>
        <w:t>E. 3.5</w:t>
      </w:r>
    </w:p>
    <w:p>
      <w:r>
        <w:t>Il reste à déterminer le dies a quo.</w:t>
      </w:r>
    </w:p>
    <w:p>
      <w:r>
        <w:rPr>
          <w:b/>
        </w:rPr>
        <w:t>E. 3.5.1</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5A_372/2015 du 29 septembre 2015 consid. 3.1 ; TF 5A_591/2011 du 7 décembre 2011 consid. 5.2 ; TF 5A_909/2010 du 4 avril 2011 consid. 6.2). La jurisprudence admet également de fixer le dies a quo du versement de la contribution d’entretien au début du mois suivant le dépôt de la requête (TF 5A_760/2012 du 27 février 2013 consid. 6 ; TF 5A_608/2011 du 13 décembre 2011 consid. 6.2.7 ; TF 5A_508/2011 du 21 novembre 2011 consid. 4.2.6 ; cf. Juge délégué CACI 16 janvier 2019 consid. 8.3).</w:t>
      </w:r>
    </w:p>
    <w:p>
      <w:r>
        <w:rPr>
          <w:b/>
        </w:rPr>
        <w:t>E. 3.5.2</w:t>
      </w:r>
    </w:p>
    <w:p>
      <w:r>
        <w:t>L’appelant a requis le versement de la contribution d’entretien dès le 1er décembre 2018. Il a déposé sa demande le 24 décembre 2019. Dans celle-ci, il a allégué que l’intimé ne l’avait pas reconnu pour des</w:t>
      </w:r>
    </w:p>
    <w:p>
      <w:r>
        <w:t>- 19 - questions financières. Cet allégué n’a pas été contesté. De plus, selon les éléments au dossier, aucun entretien en argent ou en nature de la part du père n’est à ce stade intervenu. Ainsi, il se justifie de faire rétroagir le versement de la pension mensuelle d’une année à compter du dépôt de la demande. Par conséquent, le dies à quo doit être arrêté au 1er janvier 2019.</w:t>
      </w:r>
    </w:p>
    <w:p>
      <w:r>
        <w:rPr>
          <w:b/>
        </w:rPr>
        <w:t>E. 3.6</w:t>
      </w:r>
    </w:p>
    <w:p>
      <w:r>
        <w:t>En définitive, l’intimé devra contribuer à l’entretien de l’appelant par le régulier versement, en mains d’E.________, d’une pension mensuelle, payable d’avance le premier de chaque mois, de 1’200 fr., allocations familiales dues en sus, dès et y compris le 1er janvier 2019 jusqu’au 30 avril 2024 et de 1’400 fr., allocations familiales dues en sus, dès le 1er mai 2024 jusqu’à la majorité et au-delà, l’achèvement de la formation professionnelle étant réservée aux condi-tions de l’art. 277 al. 2 CC. Cette contribution d’entretien sera indexée à l’indice officiel suisse des prix à la consommation, la première fois le 1er janvier 2022 sur la base de l’indice du mois de novembre 2020, l’indice de référence étant celui en vigueur à l’entrée en force de l’arrêt à intervenir. 4. En définitive, l’appel doit être admis et le jugement entrepris réformé aux chiffres VII et VIIbis de son dispositif dans le sens des considérants qui précèdent. Vu le sort de l’appel, les frais judiciaires de deuxième instance, arrêtés à 775 fr., qui comprennent l’émolument d’appel, par 600 fr. (art. 63 al. 1 TFJC [tarif des frais judiciaires civils du 28 septembre 2010 ; BLV 270.11.5]), ainsi que les frais liés à la publication par voie édictale dans la FAO, par 175 fr., seront mis à la charge de l’intimé, qui succombe (art. 106 al. 1 CPC). L’intimé versera à l’appelante de pleins dépens de deuxième instance, arrêtés, sur la base de 6 heures de travail au tarif d’avocat, à 2’100 fr. (art. 3 al. 2 et 7 TDC).</w:t>
      </w:r>
    </w:p>
    <w:p>
      <w:r>
        <w:t>- 20 - Me Martine Tomasetti, conseil de l’appelant, est sa curatrice au sens de l’art. 308 CC. Sa rémunération sera donc arrêtée par l’autorité de protection de l’enfant à qui il incombe de fixer son indemnité, au tarif de l’avocat d’office (art. 3 al. 1 et 4 RCur [règlement sur la rémunération des curateurs du 18 décembre 2012 ; BLV 211.255.2] ; CACI 27 juillet 2020/324 consid. 8.7 ; CACI 23 mai 2014/281), ce qui rend la demande d’assistance judiciaire sans objet.</w:t>
      </w:r>
    </w:p>
    <w:p>
      <w:r>
        <w:rPr>
          <w:b/>
        </w:rPr>
        <w:t>E. 7</w:t>
      </w:r>
    </w:p>
    <w:p>
      <w:r>
        <w:t>et les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