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TI15.007569 vom 10. Juni 2015</w:t>
      </w:r>
    </w:p>
    <w:p>
      <w:r>
        <w:t>VD Tribunal cantonal, 2015-06-10, FR</w:t>
      </w:r>
    </w:p>
    <w:p>
      <w:r>
        <w:rPr>
          <w:b/>
        </w:rPr>
        <w:t xml:space="preserve">Quelle: </w:t>
      </w:r>
      <w:r>
        <w:t>https://mcp.opencaselaw.ch/entscheid/vd_gerichte_TI15.007569</w:t>
      </w:r>
    </w:p>
    <w:p>
      <w:r>
        <w:t>FR: VD_GERICHTE TI15.007569 du 10 juin 2015</w:t>
      </w:r>
    </w:p>
    <w:p>
      <w:r>
        <w:t>IT: VD_GERICHTE TI15.007569 del 10 giugno 2015</w:t>
      </w:r>
    </w:p>
    <w:p>
      <w:pPr>
        <w:pStyle w:val="Heading2"/>
      </w:pPr>
      <w:r>
        <w:t>Erwägungen</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w:t>
      </w:r>
    </w:p>
    <w:p>
      <w:r>
        <w:t>- 7 -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 TF 4A_309/2011 du 16 décembre 2013 c. 3.2, SJ 2014 I 196). Selon le Tribunal fédéral,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Procédure civile, tome II, 2e éd., Berne 2010, n. 2414 p. 438). Des novas peuvent par ailleurs être en principe librement introduits en appel dans les causes régies par la maxime d'office, par exemple sur la situation des enfants mineurs en droit matrimonial (Tappy, Les voies de droit du nouveau Code de procédure civile, JT 2010 III 139).</w:t>
      </w:r>
    </w:p>
    <w:p>
      <w:r>
        <w:t>- 8 - b) En l’espèce, l’appelant a produit une copie de sa déclaration d’impôt 2014, du bilan et du résultat d’exploitation de l’année 2014 non révisés de la société R.________Sàrl, ainsi que plusieurs récépissés de bulletins de versement. Bien que rédigés le 29 avril 2015, soit durant le délai d’appel de dix jours et postérieurement à l’audience de mesures provisionnelles du 31 mars 2015, la déclaration d’impôt et les bilan et compte d’exploitation ne sont pas des pièces nouvelles, puisque l’appelant aurait pu les produire au plus tard jusqu’à l’audience du 31 mars 2015. En tous les cas, il ne dit pas en quoi il aurait été empêché de le faire avant cette date. De surcroît, il est manifeste que l’appelant tente de réparer ses propres carences, puisqu’il n’a pas jugé utile de comparaître tant à l’audience de la Juge de paix du district de Lausanne du 2 octobre 2014 qu’à l’audience du Président du Tribunal d’arrondissement du 31 mars 2015, ni de produire une quelconque pièce relative à sa situation financière durant la procédure de première instance. Il en va de même pour les récépissés de bulletins de versements datés du 27 avril 2015 qui concernent notamment des paiements courants. Il s’ensuit que toutes les pièces produites en appel doivent être déclarées irrecevables. En outre, il n’apparaît pas que le juge de première instance aurait violé la maxime inquisitoire en ne prenant pas en considération certains faits, dès lors que dite maxime ne dispense pas les parties de collaborer activement à la procédure et d'étayer leurs propres thèses et que c’est à elles qu'il revient, en premier lieu, de renseigner le juge sur les faits de la cause et de lui indiquer les moyens de preuve disponibles, ce que l’appelant n’a de toute évidence pas fait (TF 5A_99/2011 du 26 septembre 2011 c. 5.1 ; ATF 128 III 411 c. 3.2.1).</w:t>
      </w:r>
    </w:p>
    <w:p>
      <w:r>
        <w:rPr>
          <w:b/>
        </w:rPr>
        <w:t>E. 4</w:t>
      </w:r>
    </w:p>
    <w:p>
      <w:r>
        <w:t>L’appelant soutient que l’ordonnance ne préserve pas son minimum vital, en s’appuyant sur les pièces produites en appel dont on a vu qu’elles étaient irrecevables. Il y a donc lieu de statuer sur la base des éléments que le premier juge avait à disposition, à savoir que la mère de l’enfant prétend ne disposer d’aucun revenu et que le père présumé, gérant d’un garage de motocycles, prétend que ses affaires ont diminué.</w:t>
      </w:r>
    </w:p>
    <w:p>
      <w:r>
        <w:t>- 9 - Dans ces circonstances, c’est à bon droit que le premier juge a pris en compte, à titre provisionnel et au stade de la vraisemblance, un revenu mensuel net de 3'500 fr. et attribué 15 % de ce montant à l’enfant A.J.________ selon la méthode abstraite appliquée dans le canton de Vaud. Comme évoqué ci-dessus, dès lors que l’appelant a été défaillant dans l’instruction de première instance, il ne peut s’en prendre qu’à lui-même et doit en supporter les conséquences. L’appelant serait avisé de s’adjoindre les conseils d’un mandataire professionnel et/ou de demander l’assistance judiciaire dans le cadre de la procédure au fond.</w:t>
      </w:r>
    </w:p>
    <w:p>
      <w:r>
        <w:rPr>
          <w:b/>
        </w:rPr>
        <w:t>E. 5</w:t>
      </w:r>
    </w:p>
    <w:p>
      <w:r>
        <w:t>Les frais judiciaires de deuxième instance sont arrêtés à 600 fr. (art. 63 al. 1 TFJC [tarif des frais judiciaires civils du 28 septembre 2010 ; RSV 270.11.5]) et mis à la charge de l'appelant, qui succombe (art. 106 al. 1 CPC). Par ces motifs, le juge délégué de la Cour d’appel civile du Tribunal cantonal, prononce : I. L’appel est rejeté. II. L’ordonnance est confirmée. III. Les frais judiciaires de deuxième instance, arrêtés à 600 fr. (six cents francs), sont mis à la charge de l’appelant C.________. IV. L'arrêt motivé est exécutoire.</w:t>
      </w:r>
    </w:p>
    <w:p>
      <w:r>
        <w:t>- 10 - Le juge délégué : La greffière : Du 12 juin 2015 Le dispositif de l'arrêt qui précède est communiqué par écrit aux intéressés. La greffière : Du L'arrêt qui précède, dont la rédaction a été approuvée à huis clos, est notifié en expédition complète, par l'envoi de photocopies à : - M. C.________ - Me Nicolas Marthe (pour A.J.________)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