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TF20.037688 vom 10. August 2023</w:t>
      </w:r>
    </w:p>
    <w:p>
      <w:r>
        <w:t>VD Tribunal cantonal, 2023-08-10, FR</w:t>
      </w:r>
    </w:p>
    <w:p>
      <w:r>
        <w:rPr>
          <w:b/>
        </w:rPr>
        <w:t xml:space="preserve">Quelle: </w:t>
      </w:r>
      <w:r>
        <w:t>https://mcp.opencaselaw.ch/entscheid/vd_gerichte_TF20.037688</w:t>
      </w:r>
    </w:p>
    <w:p>
      <w:r>
        <w:t>FR: VD_GERICHTE TF20.037688 du 10 août 2023</w:t>
      </w:r>
    </w:p>
    <w:p>
      <w:r>
        <w:t>IT: VD_GERICHTE TF20.037688 del 10 agosto 2023</w:t>
      </w:r>
    </w:p>
    <w:p>
      <w:pPr>
        <w:pStyle w:val="Heading2"/>
      </w:pPr>
      <w:r>
        <w:t>Erwägungen</w:t>
      </w:r>
    </w:p>
    <w:p>
      <w:r>
        <w:rPr>
          <w:b/>
        </w:rPr>
        <w:t>E. 3.1</w:t>
      </w:r>
    </w:p>
    <w:p>
      <w:r>
        <w:t>L’appelant reproche aux premiers juges d’avoir appliqué la LESS à sa situation, alors que le RLVLFPr aurait été applicable.</w:t>
      </w:r>
    </w:p>
    <w:p>
      <w:r>
        <w:rPr>
          <w:b/>
        </w:rPr>
        <w:t>E. 3.2.1</w:t>
      </w:r>
    </w:p>
    <w:p>
      <w:r>
        <w:t>Aux termes de l’art. 149 LEO (loi sur l’enseignement obligatoire du 7 juin 2011 ; BLV 400.02), les dispositions de la LS (loi scolaire du 12 juin 1984 ; BLV 400.01) sont abrogées, sous réserve des dispositions citées à l’alinéa 2, qui sont maintenues en vigueur en attendant qu’une loi spécifique au personnel enseignant soit promulguée. Parmi les dispositions maintenues figure l’art. 75 al. 1 LS intitulé « Statut horaire », qui prévoit ce qui suit : « 1 Le cahier des charges des membres du corps enseignant comprend, en principe, les périodes hebdomadaires d’enseignement suivantes : a. … b. 25 périodes pour les maîtres de classes secondaires porteurs d’une licence, pour les anciennes maîtresses brevetées secondaires, et pour les maîtres titulaires du brevet pour l’enseignement de la musique, du dessin et de l’éducation physique ; c. 25 périodes pour les maîtres de rythmiques ; d. 28 périodes pour les maîtres des classes primaires ou secondaires non porteurs d’une licence. »</w:t>
      </w:r>
    </w:p>
    <w:p>
      <w:r>
        <w:rPr>
          <w:b/>
        </w:rPr>
        <w:t>E. 3.2.2</w:t>
      </w:r>
    </w:p>
    <w:p>
      <w:r>
        <w:t>En vertu de l’art. 2 LESS, la LS constitue la loi de référence qui s'applique en l'absence de dispositions particulières de la LESS. Conformément à l’art. 4 al. 1 LESS, les établissements d'enseignement secondaire supérieur regroupent les gymnases et l'OPTI. La DGEP comprend comme autorité l’OPTI (art. 5 al. 1 let. b LESS).</w:t>
      </w:r>
    </w:p>
    <w:p>
      <w:r>
        <w:t>- 17 - Le chapitre III de la LESS (art. 18 à 21) était consacré jusqu’au 1er août 2003 à l’Ecole de perfectionnement. Depuis cette date, il s’intitule « Office de perfectionnement scolaire, de transition et d’insertion professionnelle », soit l’OPTI. Aux termes de l’art. 18 al. 2 LESS, l’OPTI a notamment pour mission de développer les connaissances et compétences scolaires, personnelles et sociales des adolescents qui y sont admis, d’accompagner la construction de projets professionnels (let. b) et d’aider les bénéficiaires à s’insérer durablement dans la vie active (let. c). Selon l’art. 20 LESS, les conditions d’admission et de certification aux diverses structures de l’OPTI sont fixées par le règlement. Conformément à l’art. 21 al. 1 LESS, la LESS est applicable à l’OPTI, sous réserve des dispositions particulières suivantes : l’admission se fait sur dossier, au besoin complété par l’audition du candidat (let. a) ; la durée normale de la formation est d’une année, des dérogations pouvant être accordées par le chef de l’OPTI sur dossier (let. b) ; le statut horaire des enseignants des unités régionales est celui de la scolarité obligatoire ; les enseignements du centre d’orientation et de formation professionnelles (COFOP) font l’objet d’un statut particulier (let. c). L’art. 34 LESS, qui figure au chapitre VI « Corps enseignant », prévoit que le cahier des charges des membres du corps enseignant comprend, en principe, les périodes hebdomadaires d’enseignement suivantes : 22 périodes pour les maîtres occupant un poste pour lequel une licence est requise ; 25 périodes pour les maîtres occupant un poste pour lequel une licence n’est pas requise.</w:t>
      </w:r>
    </w:p>
    <w:p>
      <w:r>
        <w:rPr>
          <w:b/>
        </w:rPr>
        <w:t>E. 3.2.3</w:t>
      </w:r>
    </w:p>
    <w:p>
      <w:r>
        <w:t>En application de l’art. 20 LESS, le Conseil d’Etat a adopté l’ancien règlement sur l’OPTI du 24 novembre 2004 (aROPTI ; BLV 412.11.2) qui a été abrogé le 1er août 2016. Aux termes de l’art. 18 al. 1 aROPTI, les titres pour l’enseignement étaient en principe ceux exigés dans les établissements secondaires de la scolarité obligatoire (al. 1). Les équipes pédagogiques</w:t>
      </w:r>
    </w:p>
    <w:p>
      <w:r>
        <w:t>- 18 - pouvaient être complétées par des maîtres porteurs de titre pour l’enseignement dans les écoles professionnelles ou les institutions spécialisées (al. 2). En cas de nécessité ou de pénurie et pour assurer l’enseignement, l’autorité d’engagement pouvait recourir à des personnes ne remplissant pas les conditions d’engagement ci-dessus. Le cas échéant, l’engagement se faisait par contrat de durée déterminée d’une année, renouvelable trois fois (al. 3). Selon l’art. 19 aROPTI, les obligations professionnelles, droits et devoirs des enseignants de l’OPTI étaient ceux prévus dans la LS, la LPers (loi sur le personnel de l’Etat de Vaud du 12 novembre 2001 ; BLV 172.31), la LHEP (loi sur la Haute école pédagogique du 12 décembre 2007 ; BLV 419.11) et le RLHEP (Règlement d'application de la loi du 12 décembre 2007 sur la Haute école pédagogique du 3 juin 2009 ; BLV 419.11.1).</w:t>
      </w:r>
    </w:p>
    <w:p>
      <w:r>
        <w:rPr>
          <w:b/>
        </w:rPr>
        <w:t>E. 3.2.4.1</w:t>
      </w:r>
    </w:p>
    <w:p>
      <w:r>
        <w:t>Le 9 juin 2009, le Grand Conseil a adopté la LVLFPr, qui règle l'application dans le Canton de Vaud de la législation fédérale sur la formation professionnelle et institue des dispositions complémentaires de droit cantonal relatives à la formation professionnelle (art. 1 LVLFPr). En vertu de l’art. 108 LVLFPr, les droits et obligations du personnel enseignant des écoles publiques sont régies par la LS, sous réserve des dispositions particulières de la LVLFPr et de son règlement (al. 1). Le règlement précise les droits et obligations du personnel enseignant des écoles publiques ainsi que les différentes catégories de fonction. Il détermine aussi les conditions et les modalités en cas de détachement (al. 2). La LPers est applicable pour le surplus (al. 3).</w:t>
      </w:r>
    </w:p>
    <w:p>
      <w:r>
        <w:rPr>
          <w:b/>
        </w:rPr>
        <w:t>E. 3.2.4.2</w:t>
      </w:r>
    </w:p>
    <w:p>
      <w:r>
        <w:t>En application de la LVLFPr, le Conseil d’Etat a adopté le RLVLFPr. La section II du RLVLFPr (art. 134a à 136k), intitulée « Ecole de la transition », prévoit des dispositions concernant le but de cette école</w:t>
      </w:r>
    </w:p>
    <w:p>
      <w:r>
        <w:t>- 19 - (art. 135), la pédagogie, le programme référentiel de compétences et grille horaire (art. 135a), l’organisation de la formation (art. 136), l’effectif des classes (art. 136a), l’encadrement pluridisciplinaire (art. 136b), la maîtrise de classe (art. 136c) et les conditions concernant les élèves (art. 136d à 136k). Selon l’art. 134a RLVLFPr, entré en vigueur le 1er août 2016, diverses dispositions de la LVLFPr s’appliquent par analogie à l’Ecole de la transition, dont notamment l’art. 108 LVLFPr. Aux termes de l’art. 134a al. 2 RLVLFPr, certaines dispositions du même règlement s’appliquent par analogie à l’Ecole de la transition, notamment les art. 156 à 176 RLVLFPr. Parmi ces dispositions figure l’art. 167 RLVLFPr, dont l’alinéa premier dit que le nombre de périodes hebdomadaires d’enseignement est de 25 pour les leçons de théorie et de 37,5 en atelier ou en laboratoire. Conformément à l’art. 135 al. 1 RLVLFPr, modifié le 6 juillet 2016 et entré en vigueur le 1er août 2016, l’Ecole de la transition prépare à l’entrée en apprentissage tout en offrant des mesures d’orientation professionnelle, de développement personnel et d’appuis spécialisés. L’enseignement vise notamment le développement des connaissances et compétences scolaires, personnelles et sociales (let. a) ainsi que l’accompagnement des élèves dans la construction de leur projet professionnel (let. b).</w:t>
      </w:r>
    </w:p>
    <w:p>
      <w:r>
        <w:rPr>
          <w:b/>
        </w:rPr>
        <w:t>E. 3.2.5</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147 III 78 consid. 6.4 ; ATF 138 III 166 consid. 3.2 ; ATF</w:t>
      </w:r>
    </w:p>
    <w:p>
      <w:r>
        <w:t>- 20 - 136 III 283 consid. 2.3.1). Lorsqu'il est appelé à interpréter une loi, le Tribunal fédéral adopte une position pragmatique en suivant ces différentes interprétations, sans les soumettre à un ordre de priorité (ATF 147 III 78 consid. 6.4 ; ATF 137 III 344 consid. 5.1 ; ATF 133 III 257 consid. 2.4 ; sur le tout : ATF 149 III 98 consid. 5.2).</w:t>
      </w:r>
    </w:p>
    <w:p>
      <w:r>
        <w:rPr>
          <w:b/>
        </w:rPr>
        <w:t>E. 3.3.1</w:t>
      </w:r>
    </w:p>
    <w:p>
      <w:r>
        <w:t>L’appelant concède à l’autorité précédente que la LESS contient toujours une référence à l’OPTI dans la liste des autorités figurant à l’art. 5 LESS. Il serait toutefois constant que cet Office aurait disparu, son règlement d’application ayant été abrogé en 2016. La mention de l’art. 5 LESS ne serait plus qu’une scorie législative sans portée réelle. Il n’y aurait pas non plus de lacune dans la législation cantonale qui imposerait d’appliquer des dispositions abrogées. D’après l’appelant, il serait clair que l’OPTI aurait fait place en 2016 à l’Ecole de la transition dans le cadre de la modification de la LVLFPr. Tant la réponse du Conseil d’Etat du 25 janvier 2017 à l’interpellation de Jérôme Christen que les débats du Grand Conseil du 9 octobre 2018 seraient clairs sur la question. Le législateur aurait ainsi avalisé les modifications législatives et organisationnelles préconisées par le Conseil d’Etat. L’art. 134a RLVLFPr prévoirait ainsi l’application de l’art. 167 RLVLFPr pour l’Ecole de la transition, soit un nombre de périodes hebdomadaires de 25 pour les leçons de théorie. Le renvoi de l’art. 134a RLVLFPr à l’art. 167 RLVLFPr serait un indice clair du fait que le Conseil d’Etat n’aurait pas voulu le maintien du système antérieur, mais l’application des dispositions précitées. Il ne ferait ainsi pas sens, selon l’appelant, d’appliquer la LESS et le règlement de l’OPTI abrogé. L’appelant s’est également référé au témoignage de Q.________ et a souligné que le niveau de formation ne jouait aucun rôle pour la détermination des périodes. Il n’y aurait dès lors pas lieu d’appliquer des dispositions légales valables pour l’enseignement obligatoire. La référence des premiers juges à une décision du 15 mars 2011 ne serait pas non plus pertinente car celle-ci avait été rendue avant les changements intervenus dans le domaine de la formation professionnelle avec la création de l’Ecole de la transition en 2016. La décision concernerait en outre une personne travaillant dans l’enseignement obligatoire.</w:t>
      </w:r>
    </w:p>
    <w:p>
      <w:r>
        <w:t>- 21 - L’appelant reproche encore aux premiers juges de ne pas avoir expliqué comment et pourquoi il serait préférable d’appliquer les dispositions réglementaires abrogées de l’OPTI à un contrat de travail faisant explicitement référence à l’Ecole de la transition. Il n’y aurait pas non plus d’indication quant à la base légale qui justifierait de faire passer le nombre de périodes de 25 à 28.</w:t>
      </w:r>
    </w:p>
    <w:p>
      <w:r>
        <w:rPr>
          <w:b/>
        </w:rPr>
        <w:t>E. 3.3.2</w:t>
      </w:r>
    </w:p>
    <w:p>
      <w:r>
        <w:t>En l’espèce, on relève tout d’abord qu’il n’est pas contesté que l’OPTI est devenu l’Ecole de la transition en 2016. Cela étant, plusieurs normes règlent le sort de cette école, qu’il convient d’examiner à l’aune des principes généraux en matière d’interprétation des lois et de la hiérarchie des normes. Les art. 2, 4 et 18 à 21 LESS mentionnent expressément l’OPTI. En particulier, l’art. 21 al. 1 let. c LESS, toujours en vigueur, prévoit un statut horaire spécial pour les enseignants des unités régionales, soit celui de la scolarité obligatoire, ce qui exclut d’emblée l’application de l’art. 34 LESS pour le corps enseignant post-obligatoire (25 périodes). L’art. 2 LESS fait en outre référence à la LS, dont l’art. 75 al. 1 prévoit 28 périodes pour les maîtres de classes primaires ou secondaires non porteurs d’une licence. Ces dispositions figurent dans une loi et sont toujours en vigueur. Elles n’ont pas été modifiées, s’agissant notamment du nom de l’école, mais au vu du remplacement de l’OPTI par l’Ecole de la transition, ce qu’allègue également l’appelant, ces règles s’appliquent à ladite école. En outre, dans la mesure où une disposition dérogeant au système général de l’art. 34 LESS (25 périodes) est expressément prévue par le législateur, il apparaît que celui-ci n’entendait pas appliquer le même statut horaire pour le corps enseignant post-obligatoire en général que pour les enseignants de l’OPTI. Selon l’interprétation de ces dispositions, il apparaît donc que l’application du statut horaire de 25 périodes n’était pas prévue pour les enseignants de l’OPTI. Il apparaît au contraire qu’au vu du renvoi de l’art. 2 LESS à la LS, ce statut horaire est de 28 périodes.</w:t>
      </w:r>
    </w:p>
    <w:p>
      <w:r>
        <w:t>- 22 - A cet égard, le témoignage de Q.________, directeur général de la DGEP jusqu’en octobre 2017, n’est d’aucun secours à l’appelant. Ce témoin a en substance indiqué qu’après l’entrée en vigueur du DECFO (ndlr : le 1er juin 2010), voire jusque dans les deux ans qui avaient suivi, les enseignants ne possédant pas les titres nécessaires étaient soumis à un statut horaire de 28 périodes, mais qu’ensuite, les postes mis au concours pour l’Ecole de la transition indiquaient 25 périodes hebdomadaires. Cela étant, Q.________ n’était plus directeur général de la DGEP après octobre 2017, soit en août 2018, lorsque l’appelant avait été mis au bénéfice d’un quatrième CDD avec un statut horaire de 28 périodes, ni au moment où la signature du CDI, en février 2020, est devenue problématique, de sorte qu’il ne peut témoigner du système en place à cette période. De plus, ses déclarations doivent être nuancées compte tenu de celles du témoin P.________, responsable des ressources humaines auprès de la DGEP pour les gymnases et pour l’Ecole de la transition. Or, celui-ci a indiqué qu’il n’y avait pas de collaborateur sans titre académique qui enseignait 25 périodes par semaine à l’Ecole de la transition. Par conséquent, la situation actuelle de cette école n’est pas celle décrite par Q.________. S’agissant de la LVLFPr, elle ne mentionne pas expressément l’OPTI ni l’Ecole de la transition. Seul le RLVLFPr prévoit des dispositions concernant cette école. Or, l’appelant n’entreprend pas de démontrer pourquoi il serait erroné d’appliquer le principe de la hiérarchie des normes. Son grief fondé sur l’application de l’art. 134a RLVLFPr part de la prémisse erronée que le règlement prime et non la loi, ce qui est insuffisant pour s’écarter de l’appréciation des premiers juges. En effet, toute autorité appelée à appliquer le droit se doit de respecter les principes de la primauté de la loi et de la hiérarchie des normes (TF 8C_324/2018 du 4 décembre 2018 consid. 4.6, non publié in ATF 144 V 411). Dans le cas particulier, c'est donc en premier lieu au regard de la loi qu'il convient de décider quel statut horaire s’applique à l’appelant. Or, comme on l'a vu, au regard des art. 2, 21 al. 1 let. c LESS et 75 LS, on doit admettre que le statut horaire de l’appelant est de 28 périodes. De plus, la décision 146, qui a été régulièrement reconduite, prévoit également un</w:t>
      </w:r>
    </w:p>
    <w:p>
      <w:r>
        <w:t>- 23 - statut horaire de 28 périodes pour les personnes qui obtiendront le DAS au terme de la formation PIRACEF. Contrairement à ce que l’appelant soutient, rien ne permet donc de considérer que le législateur aurait ainsi avalisé les modifications législatives et organisationnelles préconisées par le Conseil d’Etat. Au contraire, il n’a modifié ni la LS, ni la LESS concernant le statut horaire. Quant au grief de l’appelant relatif à l’arrêt du 15 mars 2011 précité, l’autorité précédente ne l’a pas appliqué en tant que tel au cas d’espèce, mais elle s’y est simplement référée comme exemple de la distinction qu’il était admissible d’opérer au niveau salarial en fonction de la formation. Par ailleurs, contrairement à ce que l’appelant soutient, les premiers juges ont exposé les motifs – soit la hiérarchie des normes ainsi que l’interprétation des textes légaux et réglementaires – pour lesquels il se justifiait d’appliquer la LS plutôt que le RLVLFPr. A titre superfétatoire, il est relevé qu’il n'appartient pas au magistrat saisi d'un recours en matière de rémunération des fonctions de substituer son appréciation à celle de l'employeur, mais uniquement de vérifier que le résultat du système respecte le principe d’égalité de traitement notamment (consid. 2.2 supra). Au vu de ce principe et des déclarations de P.________ concernant la situation actuelle prévalant à l’Ecole de transition pour les collaborateurs sans titre académique, la retenue dont le juge doit faire preuve commande également l’application d’un statut horaire de 28 périodes. Partant, les griefs de l’appelant tombent à faux et l’appréciation des premiers juges peut être entièrement confirmée.</w:t>
      </w:r>
    </w:p>
    <w:p>
      <w:r>
        <w:rPr>
          <w:b/>
        </w:rPr>
        <w:t>E. 4.1</w:t>
      </w:r>
    </w:p>
    <w:p>
      <w:r>
        <w:t>En définitive, l’appel doit être rejeté et le jugement confirmé.</w:t>
      </w:r>
    </w:p>
    <w:p>
      <w:r>
        <w:t>- 24 -</w:t>
      </w:r>
    </w:p>
    <w:p>
      <w:r>
        <w:rPr>
          <w:b/>
        </w:rPr>
        <w:t>E. 4.2</w:t>
      </w:r>
    </w:p>
    <w:p>
      <w:r>
        <w:t>Conformément à l’art. 16 al. 6 LPers, la procédure est gratuite lorsque la valeur litigieuse est inférieure à 30'000 francs. En l’espèce, la valeur litigieuse est de 104'052 fr. (cf. consid. 1.2 supra), de sorte que les frais judiciaires de deuxième instance, mis à la charge de l’appelant qui succombe (art. 106 CPC), sont arrêtés à 2'040 fr. (art. 62 al. 1 TFJC ; 1'000 fr. + 1 % de 104'052 fr.), l’art. 67 al. 3 n’étant pas applicable compte tenu de la valeur litigieuse qui dépasse 100'000 francs. Il n’y a au surplus pas lieu à l’allocation de dépens en faveur de l’Etat de Vaud lorsque celui-ci n’est pas assisté d’un avocat, comme en l’espèce.</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