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TF18.048692 vom 28. Oktober 2019</w:t>
      </w:r>
    </w:p>
    <w:p>
      <w:r>
        <w:t>VD Tribunal cantonal, 2019-10-28, FR</w:t>
      </w:r>
    </w:p>
    <w:p>
      <w:r>
        <w:rPr>
          <w:b/>
        </w:rPr>
        <w:t xml:space="preserve">Quelle: </w:t>
      </w:r>
      <w:r>
        <w:t>https://mcp.opencaselaw.ch/entscheid/vd_gerichte_TF18.048692</w:t>
      </w:r>
    </w:p>
    <w:p>
      <w:r>
        <w:t>FR: VD_GERICHTE TF18.048692 du 28 octobre 2019</w:t>
      </w:r>
    </w:p>
    <w:p>
      <w:r>
        <w:t>IT: VD_GERICHTE TF18.048692 del 28 ottobre 2019</w:t>
      </w:r>
    </w:p>
    <w:p>
      <w:pPr>
        <w:pStyle w:val="Heading2"/>
      </w:pPr>
      <w:r>
        <w:t>Erwägungen</w:t>
      </w:r>
    </w:p>
    <w:p>
      <w:r>
        <w:rPr>
          <w:b/>
        </w:rPr>
        <w:t>E. 10</w:t>
      </w:r>
    </w:p>
    <w:p>
      <w:r>
        <w:t>jours dès la notification de la présente décision en déposant au greffe du Tribunal cantonal un mémoire écrit et motivé. Ce délai n'est pas suspendu par les féries (art. 145 al. 1 à 3 CPC). La décision objet de l'appel doit être jointe. Pr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