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TE10.012159 vom 9. September 2015</w:t>
      </w:r>
    </w:p>
    <w:p>
      <w:r>
        <w:t>VD Tribunal cantonal, 2015-09-09, FR</w:t>
      </w:r>
    </w:p>
    <w:p>
      <w:r>
        <w:rPr>
          <w:b/>
        </w:rPr>
        <w:t xml:space="preserve">Quelle: </w:t>
      </w:r>
      <w:r>
        <w:t>https://mcp.opencaselaw.ch/entscheid/vd_gerichte_TE10.012159</w:t>
      </w:r>
    </w:p>
    <w:p>
      <w:r>
        <w:t>FR: VD_GERICHTE TE10.012159 du 9 septembre 2015</w:t>
      </w:r>
    </w:p>
    <w:p>
      <w:r>
        <w:t>IT: VD_GERICHTE TE10.012159 del 9 settembre 2015</w:t>
      </w:r>
    </w:p>
    <w:p>
      <w:pPr>
        <w:pStyle w:val="Heading2"/>
      </w:pPr>
      <w:r>
        <w:t>Erwägungen</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al. 1 CPC pour l’introduction de faits ou de moyens de preuve nouveaux s’appliquent de même aux cas régis par la maxime inquisitoire. Une solution plus souple</w:t>
      </w:r>
    </w:p>
    <w:p>
      <w:r>
        <w:t>- 17 - peut être envisagée lorsque la cause est en outre régie par la maxime d’office, par exemple sur la situation des enfants mineurs en droit matrimonial,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envers les enfants (TF 5A_445/2014 du 28 août 2014 c. 2.2 ; TF 5A_342/2013 du 27 septembre 2013 c. 4.1.2 ; TF 5A_22/2014 du 13 mai 2014 c. 4.2). En l'espèce, dès lors que la cause porte sur la question de la contribution d'entretien due en faveur d’un enfant mineur, le litige est régi par la maxime inquisitoire illimitée de l'art. 296 CPC. Les parties doivent néanmoins collaborer à la procédure (Hohl, Procédure civile, Tome II, 2e éd., Berne 2010, nn. 1166 ss et 2414 ss).</w:t>
      </w:r>
    </w:p>
    <w:p>
      <w:r>
        <w:rPr>
          <w:b/>
        </w:rPr>
        <w:t>E. 3.2</w:t>
      </w:r>
    </w:p>
    <w:p>
      <w:r>
        <w:t>S’agissant des pièces produites par A.W.________ à l’appui de son appel, la pièce 1 est une pièce dite de forme qui est donc recevable. La pièce 2, correspondant à une circulaire intitulée « Consolidated Post Adjustment Circular » émise par les Nations Unies, datée du 15 septembre 2014, est irrecevable dès lors qu’elle aurait pu être produite en première instance. Cela étant, à supposer même qu’elle soit recevable, cette pièce n’est pas relevante (cf. infra 6.1.3). La pièce 3, soit un courriel relatif aux frais d’écolage pour B.W.________, adressé par le Collège [...] à l’appelant le 14 juillet 2015, est postérieure à l’audience du 21 avril 2015. Toutefois, cette pièce est irrecevable, dès lors qu’elle aurait pu être produite en première instance, à la suite du courrier de la partie adverse du 25 novembre 2014, qui fait état de ces frais et qui a produit à ce titre les pièces 10 et 11 du bordereau du 25 novembre 2014, dont le premier juge a tenu compte. L’appelant n’a ainsi pas fait preuve de la diligence requise (art. 317 CPC). Il en va de même pour la pièce 4 correspondant à un extrait de l’historique des taux de change sur le site www.oanda.com qui, bien que datée postérieurement à l’audience du 21 avril 2015, aurait pu être produite en première instance.</w:t>
      </w:r>
    </w:p>
    <w:p>
      <w:r>
        <w:t>- 18 - Quant à V.________, elle a produit une pièce de forme qui est recevable (pièce 34), un extrait du site Internet « Transparent California » (pièce 35), daté du 17 juillet 2015, dont la recevabilité est douteuse, dans la mesure où l’appelante ne démontre pas qu’elle n’a pas manqué à son devoir de diligence, mais dont il y a lieu d’admettre, à tout le moins, qu’elle complète la pièce 28 produite en première instance. Enfin, la pièce 36 est irrecevable, dès lors que cette pièce n’est pas datée et que la grille des tarifs prévoit un paiement unique de certains frais de scolarité au 30 juin de l’année en cours, de sorte que l’appelante, qui devait payer ces frais jusqu’au 30 juin 2015 au plus tard, ne saurait prétendre qu’elle n’en a eu connaissance que lors du dépôt de son appel le 17 juillet 2015.</w:t>
      </w:r>
    </w:p>
    <w:p>
      <w:r>
        <w:rPr>
          <w:b/>
        </w:rPr>
        <w:t>E. 3.3</w:t>
      </w:r>
    </w:p>
    <w:p>
      <w:r>
        <w:t>b; CACI 30 janvier 2012/50 c. 3a; cf. Juge délégué CACI 19 août 2015/427 ch. 19.1 d et c. 8.1). Par ailleurs, le juge des mesures provisionnelles statue sur la base des justificatifs immédiatement disponibles (TF 5A 360/2015 du 13 août 2015 c. 3.2.2 et les références aux arrêts cités).</w:t>
      </w:r>
    </w:p>
    <w:p>
      <w:r>
        <w:rPr>
          <w:b/>
        </w:rPr>
        <w:t>E. 4</w:t>
      </w:r>
    </w:p>
    <w:p>
      <w:r>
        <w:t>L’appelant s’en prend tout d’abord à l’appréciation des preuves effectuée par le premier juge s’agissant de la réinscription d’B.W.________ dans I’école privée qu’il fréquentait avant son départ aux Etats-Unis. Les arguments qu’il avance ne sont cependant pas propres à remettre en cause cette appréciation, qui ne prête pas le flanc à la critique et à laquelle il y a lieu d’adhérer. L’appelant ne fait du reste qu’opposer sa propre appréciation à celle du premier juge pour reprocher à l’intimée un comportement abusif et mensonger, qu’il ne parvient cependant pas à démontrer. En effet, il ressort de l’ordonnance attaquée, non remise en cause sur ce point par l’appelant, qu’avant la décision du 31 juillet 2014 attribuant la garde à la mère, le conseil de l’intimée avait déjà, par lettre du 17 juillet 2014, signalé qu’au vu des lacunes scolaires d’B.W.________, notamment en allemand et en mathématiques, la voie de I’école privée était une nécessité et que I’intimée n’était plus au service d’un employeur qui prenait à sa charge une grande partie des frais en école privée. L’ordonnance attaquée relève également qu’il ressort de l’ordonnance du 22 juillet 2014 qu’un dossier d’inscription avait été déposé auprès du Collège [...] et qu’un accord était intervenu entre les parties lors de l’audience du 22 juillet 2014 en ce sens que la question de la contribution</w:t>
      </w:r>
    </w:p>
    <w:p>
      <w:r>
        <w:t>- 19 - d’entretien à fixer ensuite de ce changement de garde interviendrait ultérieurement. L’appelant était donc parfaitement au courant du fait qu’B.W.________ réintégrerait une école privée et que les frais d’écolage ne seraient plus pris en charge par l’employeur de l’intimée. Il admet lui- même, dans son appel, que le retour d’B.W.________ en Suisse relève du choix de celui-ci qu’il avait décidé de respecter. L’intérêt d’B.W.________, qui a choisi de revenir en Suisse après deux années passées aux Etats- Unis, à une éducation conforme à ses aptitudes et à l’accord intervenu entre ses parents l’emporte en l’espèce, compte tenu également de la situation des deux parents. Le moyen doit par conséquent être rejeté.</w:t>
      </w:r>
    </w:p>
    <w:p>
      <w:r>
        <w:rPr>
          <w:b/>
        </w:rPr>
        <w:t>E. 5</w:t>
      </w:r>
    </w:p>
    <w:p>
      <w:r>
        <w:t>L’appelant allègue également que, si par impossible, la Cour d’appel civile devait protéger le comportement de l’intimée et renvoyer la cause à l’autorité inférieure pour nouvelle décision, cette dernière devrait tenir compte du coût de la vie plus élevé en Californie que la moyenne nationale des Etats-Unis, d’un taux de change moyen sur une période déterminée et non à une date déterminée, d’un salaire mensuel net inférieur le concernant, d’un montant à titre de remboursement d’un prêt dans ses charges ainsi que de frais d’écolage moindres, de sorte que son disponible mensuel s’élèverait à 437 fr. 60. On ne voit pas que l’autorité de céans, si elle décidait de « protéger le comportement de l’intimée », devrait renvoyer la cause à l’autorité inférieure, dès lors qu’elle peut statuer en réforme (art. 318 al. 1 CPC). Par conséquent, l’appelant, dans son argumentation, paraît renoncer à l’examen par l’autorité de céans de ses griefs, si celle-ci devait statuer en réforme et non en annulation, ce qui, en l’état, conduirait au rejet pur et simple de l’appel. Quoi qu’il en soit, l’appel d’A.W.________ sera examiné, nonobstant cette argumentation, compte tenu des conclusions (principales et subsidiaires) prises.</w:t>
      </w:r>
    </w:p>
    <w:p>
      <w:r>
        <w:t>- 20 -</w:t>
      </w:r>
    </w:p>
    <w:p>
      <w:r>
        <w:rPr>
          <w:b/>
        </w:rPr>
        <w:t>E. 6.1.1</w:t>
      </w:r>
    </w:p>
    <w:p>
      <w:r>
        <w:t>L’appelant reproche tout d’abord au premier juge d’avoir retenu que le coût de la vie aux Etats-Unis était 36 fois moins élevé qu’en Suisse, en se fondant sur le site Internet de l’OCDE. Selon l’appelant, il y a lieu de tenir compte du fait que le coût de la vie n’est pas le même partout aux Etats-Unis, celui de la Californie étant par exemple plus élevé que celui de l’Etat de New-York. Pour ce faire, il faudrait se fonder sur les statistiques des Nations Unies qui éditent chaque mois une circulaire afin de calculer les salaires de manière équitable de tous leurs employés dans le monde entier.</w:t>
      </w:r>
    </w:p>
    <w:p>
      <w:r>
        <w:rPr>
          <w:b/>
        </w:rPr>
        <w:t>E. 6.1.2</w:t>
      </w:r>
    </w:p>
    <w:p>
      <w:r>
        <w:t>Lorsque le débiteur d’entretien vit à l’étranger, il y a lieu de tenir compte, lors du calcul du montant de base, du niveau de vie de ce pays (TF 5A_462/2010 du 24 octobre 2011 c. 3.1). La jurisprudence vaudoise admet de se référer aux données publiées par le Département fédéral des affaires étrangères (DFAE) sur son site Internet www.eda.admin.ch (anciennement : www.swissmigration.ch) qui renvoie notamment aux données de l’OCDE ou de l’OFS (CACI 11 mars 2013/98 c.</w:t>
      </w:r>
    </w:p>
    <w:p>
      <w:r>
        <w:rPr>
          <w:b/>
        </w:rPr>
        <w:t>E. 6.1.3</w:t>
      </w:r>
    </w:p>
    <w:p>
      <w:r>
        <w:t>Le premier juge a retenu, en se fondant sur le site internet de l’OCDE, que le coût de la vie aux Etats-Unis était de 36% moins élevé qu’en Suisse et a ainsi retenu un montant de 544 fr. au titre de montant de base pour le minimum vital d’A.W.________. Celui-ci ne remet pas en cause ce taux de 36% tel qu’il résulte de ce site, mais il s’appuie en appel sur la pièce 2 intitulée « Consolidated Post Adjustment Circular » des Nations Unies, censée étayer un coût de vie différent et plus nuancé par Etat que celui retenu par le premier juge, pour en déduire un taux maximal de 18% de différence du coût de vie entre la Suisse et San</w:t>
      </w:r>
    </w:p>
    <w:p>
      <w:r>
        <w:t>- 21 - Francisco. Cette pièce nouvelle est irrecevable (c. 3.2 supra), l’appelant s’étant limité à alléguer en première instance qu’il vivait avec sa nouvelle épouse en Californie, sans aucune indication chiffrée concernant le coût de la vie. Au surplus, cette pièce produite, qui concerne singulièrement les ajustements des indemnités de poste et des seuils, aux fins du calcul des allocations (ou déductions) de logement pour les fonctionnaires des Nations-Unies, n’est pas relevante en l’espèce, dès lors que l’appelant – qui par ailleurs prend soin de dissimuler l’identité de son employeur – ne prétend pas être un fonctionnaire des Nations-Unies. Pour toutes les raisons exposées, l’application des données de l’OCDE par le premier juge ne saurait être remise en cause sur le principe, le taux y figurant n’ayant pas été contesté en tant que tel. Au surplus, l’indice des niveaux des prix en comparaison mondiale de l’OFS (le monde = 100), figurant sur le site Internet de la Confédération, confirme l’écart important entre la Suisse (171) et les Etats-Unis d’Amérique (114).</w:t>
      </w:r>
    </w:p>
    <w:p>
      <w:r>
        <w:rPr>
          <w:b/>
        </w:rPr>
        <w:t>E. 6.2</w:t>
      </w:r>
    </w:p>
    <w:p>
      <w:r>
        <w:t>L’appelant fait valoir ensuite que le premier juge a fait preuve d’arbitraire en appliquant le taux de change de 0.95395 fr. au jour de l’audience, dès lors qu’il ne prend pas en compte les différentes fluctuations des cours de change qui ont lieu quotidiennement, en particulier lors des derniers mois. L’appelant allègue qu’il faut retenir un taux de change moyen pour la période allant du 1er janvier 2013 au 15 juillet 2015, dans la mesure où plusieurs documents qu’il a produits dans le cadre de la procédure de première instance dateraient de périodes bien antérieures à la date de l’audience du 21 avril 2015. L’appelant a produit à cet effet la pièce nouvelle 4 en appel qui est irrecevable (c. 3.2 supra). Il ressort en outre de l’ordonnance du 31 juillet 2014 que les parties avaient convenu, lors de l’audience du 22 juillet 2014, que la question de la contribution d’entretien à fixer ensuite de ce changement de garde interviendrait ultérieurement. La requête en modification qui a donné lieu à l’ordonnance attaquée par le présent appel a été introduite, s’agissant de la contribution alimentaire d’A.W.________ en faveur de son fils B.W.________, le 29 août 2014, l’appelant s’étant déterminé le 10</w:t>
      </w:r>
    </w:p>
    <w:p>
      <w:r>
        <w:t>- 22 - novembre 2014 en alléguant un taux de change de 0.92 en vigueur le 10 novembre 2014 (p. 4 de la détermination), et non pas un taux moyen comme allégué pour la première fois en appel. Le taux de change du 10 au 16 novembre 2014 était du reste et en réalité plus élevé que celui retenu par le premier juge (0.9644 selon pièce 4 produite). V.________ a confirmé ses conclusions dans sa requête du 24 mars 2015, alors qu’A.W.________ a confirmé, en date du 14 avril 2015, les conclusions qu’il a prises le 10 novembre 2014. Lors de la reprise d’audience le 21 avril 2015, les parties ont confirmé leurs conclusions. Par surabondance, il y a lieu de relever que le coût de la vie résultant de la pièce 2 (« Consolidated Post Adjustment Circular »), produite par l’appelant et déclarée irrecevable, à supposer recevable, inclut déjà la prise en compte d’un taux de change le plus récent (p. 5 de cette pièce). Dès lors, le raisonnement de l’appelant, consistant à vouloir faire admettre un taux de change moyen en plus d’un coût de vie incluant déjà la prise en compte d’un taux de change, ne saurait de toute manière être suivi. Au vu de l’ensemble des développements qui précèdent, on ne saurait reprocher au premier juge d’avoir retenu le taux de change au jour de la reprise de l’audience, le 21 avril 2015, de 0.95395.</w:t>
      </w:r>
    </w:p>
    <w:p>
      <w:r>
        <w:rPr>
          <w:b/>
        </w:rPr>
        <w:t>E. 6.3.1</w:t>
      </w:r>
    </w:p>
    <w:p>
      <w:r>
        <w:t>L’appelant soutient encore que le premier juge a procédé à un calcul erroné de son revenu mensuel net. L’ordonnance querellée a retenu que pour l’année 2015, la pièce 57 produite le 14 avril 2015, faisait état d’un montant de 2’564.72 USD du 16 au 29 mars 2015 (date de paiement 3 avril 2015) à titre de salaire net (impôt déduit). D’autre part, selon l’ordonnance, depuis le début de l’année 2015, le salaire perçu par l’appelant s’élevait à 18’311.16 USD. Si l’on mensualise cette somme comme le retient l’ordonnance sur trois mois, on obtient 6’103.72 USD net par mois (impôt</w:t>
      </w:r>
    </w:p>
    <w:p>
      <w:r>
        <w:t>- 23 - déduit). ll n’y a pas lieu d’adopter un autre calcul (sur 52 semaines: 26 salaires à 2’564.72 USD), dès lors que la pièce produite 57 suffit à établir le salaire actuel, soit pour 2015, au stade des mesures provisionnelles et au degré de la vraisemblance. Au taux retenu de 0.95395, le salaire mensuel s’élève ainsi à 5’822 fr. 65, impôt déduit.</w:t>
      </w:r>
    </w:p>
    <w:p>
      <w:r>
        <w:rPr>
          <w:b/>
        </w:rPr>
        <w:t>E. 6.3.2</w:t>
      </w:r>
    </w:p>
    <w:p>
      <w:r>
        <w:t>L’appelante reproche, quant à elle, au premier juge d’avoir violé la maxime inquisitoire illimitée en matière de fixation de contribution d’entretien en faveur d’un enfant mineur. Selon l’appelante, il appartenait au premier juge, s’il doutait du caractère probant des pièces 27 à 33 produites en première instance, d’entreprendre toute démarche utile permettant de lever ce doute ou à tout le moins d’informer l’appelante des doutes qu’elle nourrissait à cet égard, afin que l’appelante puisse faire en sorte de les lever par tout moyen utile. L’appelante relève encore que la partie adverse a caviardé l’identité de son employeur dans toutes les pièces qu’il a produites. Dès lors, il n’existerait aucun doute sur l’identité du A.W.________ désigné dans les pièces 27 à 33 déterminantes pour fixer le revenu réalisé par l’intimé. L’appelante requiert, à titre subsidiaire, la production des pièces 51b, 51c, 57 et 113 originales ou à tout le moins non caviardées, afin d’établir l’identité de l’employeur de l’intimé.</w:t>
      </w:r>
    </w:p>
    <w:p>
      <w:r>
        <w:rPr>
          <w:b/>
        </w:rPr>
        <w:t>E. 6.3.3</w:t>
      </w:r>
    </w:p>
    <w:p>
      <w:r>
        <w:t>En matière de mesures provisionnelles rendues pour la durée de la procédure de divorce, la maxime inquisitoire est applicable (art. 272 et 276 al. 1 CPC). L’obligation du juge d’établir d’office les faits n’est pourtant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 3.2.1 ; TF 5A 360/2015 du 13 août 2015 c. 3.2.2 ; TF 5A 808/2012 du 29 août 2013 c. 4.3.2, non publié in ATF 139 III 401, publié in FamPra 2014 (26) p. 183), étant rappelé que le juge des mesures provisionnelles statue sur la base des justificatifs immédiatement disponibles (TF 5A 360/2015 du 13 août 2015 c. 3.2.2 et les réf. citées).</w:t>
      </w:r>
    </w:p>
    <w:p>
      <w:r>
        <w:t>- 24 -</w:t>
      </w:r>
    </w:p>
    <w:p>
      <w:r>
        <w:rPr>
          <w:b/>
        </w:rPr>
        <w:t>E. 6.3.4</w:t>
      </w:r>
    </w:p>
    <w:p>
      <w:r>
        <w:t>Le premier juge a retenu que les pièces produites par l’appelante, censées démontrer que les revenus de l’appelant s’élèveraient à plus de 100'000 USD par année, ne permettaient pas de rendre ces allégations vraisemblables, dès lors que l’on ignorait en particulier si le A.W.________ mentionné était bien l’intimé. Ce faisant, le premier juge, procédant, au moment de statuer, à l’appréciation des preuves immédiatement disponibles au stade de la procédure provisionnelle (TF 5A 360/2015 du 13 août 2015 c. 3.2.2 et les références aux arrêts cités), a retenu au terme de son appréciation que ces preuves ne suffisaient pas pour rendre vraisemblables les allégations de l’appelante. Dès lors, on ne voit pas que le premier juge aurait violé la maxime inquisitoire applicable en I’espèce, au vu de la jurisprudence citée, ni qu’il aurait dû, au stade de l’instruction déjà, livrer son appréciation des preuves sur cette question. Au demeurant, il y a lieu de relever que le premier juge a statué au terme de deux audiences et après avoir donné l’occasion aux parties de produire différentes pièces et de se déterminer sur leur contenu. S’agissant donc du salaire de l’intimé dans le cas présent, il y a lieu de donner la préférence aux fiches de salaire émanant de l’employeur, au vu des incertitudes liées aux renseignements disponibles sur Internet. En effet, il ne s’agit pas ici de renseignements standardisés et notoires, mais de données contenant des éléments individualisés du salaire, tels que les prétendus « benefits », susceptibles de contenir des erreurs. En outre, à supposer même que les pièces nos 51b (copie de la fiche de salaire du 16 mai 2014), 51c (copie de l’annexe « supplemental income and loss 2013 ») , 57 (copie de la fiche de salaire d’A.W.________ du 29 mars 2015) et 113 (copie du relevé de compte bancaire d’A.W.________ depuis décembre 2013), soient produites en leur formes originales ou du moins non caviardées, comme requis par l’appelante, et qu’elles révèlent que l’intimé est employé par [...], cela n’enlèverait rien, à ce stade, à la valeur probante des montants du salaire attestés par ces</w:t>
      </w:r>
    </w:p>
    <w:p>
      <w:r>
        <w:t>- 25 - documents, singulièrement de ceux figurant dans la pièce 57 sur laquelle s’est appuyée le premier juge, qu’il n’y a pas lieu de considérer en tant que tels comme erronés ou faux, ce que l’appelante ne prétend du reste pas. Ce n’est ainsi qu’au stade du jugement au fond qu’il appartiendra, le cas échéant, au juge de requérir les pièces nécessaires actualisées portant sur le salaire annuel de l’intimé pour la période déterminante en I’espèce, soit dès le 1er septembre 2014 (salaire annuel de toute manière non encore disponible sur Internet selon l’appelante) et 2015 (salaire annuel non disponible auprès de l’intimé avant la fin de l’année en cours). Si l’intimé devait ne pas fournir des renseignements complets à ce sujet, il sera loisible au juge du fond de recourir à toute mesure d’instruction jugée utile, notamment de s’adresser directement à l’employeur de l’intimé aux Etats-Unis – ce qui dépasse clairement le cadre de la présente procédure provisionnelle – voire de tenir compte, le cas échéant, du manque de collaboration de l’intimé dans le jugement au fond (cf. art. 164 CPC ; CACI du 21 avril 2015/172 c. 3.3). Dès lors, on ne saurait reprocher au premier juge d’avoir retenu, au stade des mesures provisionnelles, un revenu correspondant à 73’244.64 USD (6'103.72 USD x 12), impôts déduits, en se fondant sur les fiches de salaires immédiatement disponibles (TF arrêt 5A 360/2015 du 13 août 2015, c. 3.2.2 précité), soit les plus actuelles pour l’année 2015. Au surplus, l’intimé a relevé dans sa requête d’effet suspensif que les procédures judiciaires entre les parties duraient depuis plus de dix ans, « l’animosité entre elles les ayant amenées à constamment repousser les limites de leur relation conflictuelle ». Dès lors, la solution provisoire retenue, se fondant sur des éléments immédiatement disponibles, tient également compte de l’intérêt d’B.W.________ à ce stade.</w:t>
      </w:r>
    </w:p>
    <w:p>
      <w:r>
        <w:rPr>
          <w:b/>
        </w:rPr>
        <w:t>E. 6.4</w:t>
      </w:r>
    </w:p>
    <w:p>
      <w:r>
        <w:t>L’appelant reproche encore au premier juge de ne pas avoir retenu le montant de 602.27 USD dans ses charges, correspondant au remboursement mensuel d’un prêt de 14’000 USD (recte : 14'000 : 2 =</w:t>
      </w:r>
    </w:p>
    <w:p>
      <w:r>
        <w:t>- 26 - 7'000 USD, dès lors que l’épouse copropriétaire du logement paraît assumer la moitié de ce prêt) contracté au mois de juin 2014 afin de financer une importante réfection du toit de sa maison sans laquelle cette dernière n’aurait plus été habitable (pièce 108). Selon la jurisprudence du Tribunal fédéral, les dettes personnelles envers un tiers passent après l’entretien et ne font pas partie du minimum vital d’un époux. Le juge peut en tenir compte dans le partage du montant dépassant les minima vitaux des époux (TF 5A 141/2014 du 28 avril 2014 c. 3.1). En l’espèce, la pièce 108 produite en première instance n’atteste pas de l’utilisation effective de ce prêt personnel pour la réparation du toit. Quoi qu’il en soit, au vu de la jurisprudence précitée, le premier juge n’avait de toute manière pas à en tenir compte comme élément du minimum vital de l’appelant. C’est à juste titre qu’il n’en a pas non plus tenu compte après avoir établi les besoins concrets d’B.W.________ (c. 7 infra) qui l’emportent en l’espèce sur la nécessité de réparer ledit toit, qui n’a pas été rendue vraisemblable.</w:t>
      </w:r>
    </w:p>
    <w:p>
      <w:r>
        <w:rPr>
          <w:b/>
        </w:rPr>
        <w:t>E. 6.5</w:t>
      </w:r>
    </w:p>
    <w:p>
      <w:r>
        <w:t>L’appelant conteste par ailleurs le montant des frais d’écolage pour B.W.________. Il fait valoir que les frais d’inscription et de contribution au fond de développement, retenus par le premier juge, ne seraient plus dus lors de la réinscription intervenue en 2014. En outre, selon l’appelant, le dépôt de sécurité est restitué à l’élève au terme de ses études, de sorte qu’il n’y aurait pas lieu d’en tenir compte, le seul coût annuel s’élevant à 33’800 fr. (soit 2’816 fr. 65 par mois), au lieu du montant de 3’158 fr. retenu par le premier juge. L’appelant s’appuie sur la pièce 3 produite en appel qui est irrecevable (c. 3.2 supra). Au demeurant, même à supposer que la pièce 3 soit recevable, l’appelante fait valoir à l’appui de son propre appel une augmentation des coûts d’écolage pour l’année 2015-2016 de 33’800 fr.</w:t>
      </w:r>
    </w:p>
    <w:p>
      <w:r>
        <w:t>- 27 - (soit de 2’816 fr. 65 par mois) à 34’990 fr. (soit de 2’915 fr 85 par mois), correspondant à une augmentation annuelle de 3,5% (34’990 fr. - 33’800 fr. = 1'190 fr. x 100 : 33’800 fr.), en produisant la pièce 36. Dès lors toutefois que cette pièce est irrecevable (c. 3.2 supra), il y a lieu, en définitive, de s’en tenir au montant retenu par le premier juge.</w:t>
      </w:r>
    </w:p>
    <w:p>
      <w:r>
        <w:rPr>
          <w:b/>
        </w:rPr>
        <w:t>E. 6.6</w:t>
      </w:r>
    </w:p>
    <w:p>
      <w:r>
        <w:t>L’appelant reproche en outre au premier juge d’avoir retenu que l’intimée participait pour un montant mensuel de 1’500 fr. aux charges du ménage commun qu’elle partageait avec son concubin. Dans la mesure où il soutient que l’ordonnance se limiterait à s’appuyer sur la déclaration du concubin de l’intimée, alors que la pièce 5 du bordereau de celle-ci démontrerait que ses derniers versements effectués n’étaient que de 1’000 fr. aux mois de juin et juillet 2014, l’appelant perd de vue qu’il découle de cette pièce que les versements oscillent entre 1’000 et 2’000 fr. et que la moyenne de l’ensemble des montants est de 1’583 fr. 30 (9'500 fr. : 6). Par ailleurs, dans son courrier du 25 novembre 2014, l’intimée avait allégué qu’elle participait en principe à la moitié des intérêts hypothécaires mensuels (1/2 de 2’600 fr. = 1’300 fr.), mais que ses versements sur le compte commun ouvert à cet effet dépendaient toutefois du montant de ses autres paiements du mois. Par conséquent, en retenant un montant de 1’500 fr., la solution du premier juge ne prête pas le flanc à la critique.</w:t>
      </w:r>
    </w:p>
    <w:p>
      <w:r>
        <w:rPr>
          <w:b/>
        </w:rPr>
        <w:t>E. 7</w:t>
      </w:r>
    </w:p>
    <w:p>
      <w:r>
        <w:t>L’appelant reproche enfin au premier juge d’avoir fait preuve d’arbitraire en fixant la contribution d’entretien à un montant correspondant à 36% de son revenu, sans tenir compte de la méthode des pourcentages applicable dans le canton de Vaud. Or, le premier juge n’est pas lié par cette méthode dont il n’a du reste pas fait application. En effet, le premier juge a pris en considération les besoins concrets dB.W.________ et la capacité contributive des parents, au degré de la vraisemblance. Les besoins concrets d’B.W.________ s’élèvent à 4’195 fr. 70 par mois, desquels il faut déduire les éventuelles allocations familiales par 230 fr., soit à 3'965 fr. 70. lI faut en outre rappeler que ce montant inclut la prise en compte des frais d’écolage dans une école privée qui, comme retenu à</w:t>
      </w:r>
    </w:p>
    <w:p>
      <w:r>
        <w:t>- 28 - juste titre par le premier juge, relevait d’un accord entre les parents. Ce choix paraît du reste judicieux au vu des circonstances de l’espèce et de l’intérêt d’B.W.________. Quant à I’ATF 119 III 70 (rendu en matière de LP) cité par l’appelant, il ne saurait rien en déduire en sa faveur, dès lors que l’arrêt en question ne pose pas, comme le soutient à tort l’appelant, le principe selon lequel la prise en compte des frais d’une école privée serait admissible pour une durée limitée à une année scolaire, d’une part, et que l’appelant ne prétend pas, à juste titre, que le montant retenu par l’ordonnance attaquée entamerait son minimum vital, d’autre part.</w:t>
      </w:r>
    </w:p>
    <w:p>
      <w:r>
        <w:rPr>
          <w:b/>
        </w:rPr>
        <w:t>E. 8</w:t>
      </w:r>
    </w:p>
    <w:p>
      <w:r>
        <w:t>Au vu de ce qui précède, les deux appels doivent être rejetés et l’ordonnance querellée confirmée. S’agissant de la requête d’assistance judiciaire d’A.W.________, il y a lieu de la rejeter. En effet, d’une part, les chances de gagner l’appel étaient sensiblement inférieures aux risques de le perdre (cf. art. 117 let. b CPC). D’autre part, la condition de l’indigence (art. 117 let. a CPC) n’est pas non plus réalisée, dès lors que les revenus cumulés d’A.W.________ et de son épouse (cf. ATF 119 la 12 c. 3a; ATF 108 la 10; ATF 103 la 101 ; TF 4A_412/2008 du 27 octobre 2008 c. 4.1 ), tels qu’indiqués dans ladite requête (12’500 USD), sont trop importants pour qu’il puisse prétendre à I’assistance judiciaire. Compte tenu du tableau des charges alléguées de 5’329.98 USD (pièce 2), incluant notamment la pension alimentaire pour un montant de 1'920 fr. (recte : 1'930 fr.) et les frais de visite d’B.W.________, et en admettant que le même montant des charges (3’103.5 USD sans pension alimentaire ni frais de visite) est supporté par l’épouse de celui-ci, le couple a largement de quoi faire face aux frais de la présente procédure d’appel (12’500 - 5’329.98 - 3’103.5), ce d’autant que la requête indique des économies de 5’000 USD. Par ailleurs, la fortune du couple inclut à tout le moins un bien immobilier, soit la maison familiale qui, après déduction des hypothèques, a une valeur indiquée de 400'000 USD.</w:t>
      </w:r>
    </w:p>
    <w:p>
      <w:r>
        <w:t>- 29 - Les frais judiciaires de deuxième instance en lien avec l’appel d’A.W.________ sont arrêtés à 900 fr. (art. 65 al. 2 et art. 6 al. 1 TFJC) et mis à sa charge (art. 106 al. 1 CPC). Concernant la requête d’assistance judiciaire de V.________, elle sera admise, les conditions de l’art. 117 CPC étant remplies. Le bénéfice de l’assistance judiciaire lui sera octroyé sous forme d’exonération de frais judiciaires et de l’assistance d’un conseil d’office en la personne de Me Yvan Guichard. L’appelante sera par ailleurs astreinte au paiement d’une franchise mensuelle de 50 fr. (conformément du reste à sa requête) à verser, dès le 1er novembre 2015, auprès du Service juridique et législatif, à Lausanne. Les frais judiciaires de deuxième instance en lien avec l’appel de V.________, arrêtés à 900 fr. (art. 65 al. 2 et art. 6 al. 1 TFJC) pour l’appelante (art. 106 al. 1 CPC), sont laissés à la charge de l’Etat (art. 122 al. 1 let. b CPC). Me Guichard, conseil d’office de l’appelante, a droit à une rémunération équitable (art. 122 al. 1 let. a CPC). Il a produit sa liste d’opérations le 8 septembre 2015 dont il ressort qu’il a consacré au total 5 heures et 25 minutes au dossier, soit 2h25 au tarif avocat et 3h au tarif avocat-stagiaire. Après examen des opérations effectuées, celles-ci apparaissent comme correctes et justifiées, à l’exception du temps consacré à l’ouverture du dossier et à l’établissement de la liste des opérations, s’agissant de purs travaux de secrétariat qui font partie des frais généraux (CACI 12 mars 2015/121 ; Juge déléguée CACI 14 janvier 2015/26 ; CREC 3 septembre 2014/312) et dont il ne sera pas tenu compte.</w:t>
      </w:r>
    </w:p>
    <w:p>
      <w:r>
        <w:t>- 30 - L’indemnité d’office de Me Guichard sera par conséquent arrêtée à 705 fr. (2h05 x 180 fr. + 3h x 110 fr.), montant auquel il convient d’ajouter la TVA à 8% par 56 fr. 40, de même que des débours par 3 fr., TVA par 0.25 fr. en sus, soit à un total de 764 fr. 65. La bénéficiaire de l’assistance judiciaire est tenue, dans la mesure de l’art. 123 CPC, de rembourser l’indemnité de son conseil d’office et les frais judiciaires mis à la charge de l’Etat. Il y a lieu à l’allocation de dépens réduits, arrêtés à 100 fr., pour la réponse à l’effet suspensif requis par A.W.________, dès lors que l’effet suspensif a été accordé partiellement alors que V.________ avait conclu à son rejet. Au surplus, les parties n’ont pas été invitées à se déteminer sur les appels déposés. Par ces motifs, la Juge délégué de la Cour d’appel civile du Tribunal cantonal, statuant en application de l'art. 312 al. 1 CPC, prononce : I. Les appels sont rejetés. II. L’ordonnance est confirmée. III. La requête d’assistance judiciaire de l’appelant A.W.________ est rejetée. IV. La requête d’assistance judiciaire de l’appelante V.________ est admise, Me Yvan Guichard étant désigné conseil d’office et l’appelante étant astreinte au paiement d’une franchise mensuelle de 50 fr. (cinquante francs) par mois dès le 1er</w:t>
      </w:r>
    </w:p>
    <w:p>
      <w:r>
        <w:t>- 31 - novembre 2015, à verser auprès du Service juridique et législatif, case postale, à 1014 Lausanne. V. Les frais judiciaires de deuxième instance afférents à l’appel d’A.W.________ sont arrêtés à 900 fr. (neuf cents francs) et mis à la charge de l’appelant A.W.________. VI. Les frais judiciaires de deuxième instance afférents à l’appel de V.________ sont arrêtés à 900 fr. (neuf cents francs) et laissés à la charge de l’Etat. VII. L’indemnité de Me Yvan Guichard, conseil d’office de V.________, est arrêtée à 764 fr. 65 (sept cent soixante-quatre francs et soixante-cinq centimes), débours et TVA compris. VIII. La bénéficiaire de l’assistance judiciaire est tenue, dans la mesure de l’art. 123 CPC, de rembourser l’indemnité de son conseil d’office et les frais judiciaires mis à la charge de l’Etat. IX. A.W.________ doit verser à V.________ un montant de 100 fr. (cent francs) à titre de dépens de deuxième instance. X. L’arrêt est exécutoire. La juge déléguée : La greffière :</w:t>
      </w:r>
    </w:p>
    <w:p>
      <w:r>
        <w:t>- 32 - Du L'arrêt qui précède, dont la rédaction a été approuvée à huis clos, est notifié en expédition complète, par l'envoi de photocopies, à : - Me Aurélia Rappo (pour A.W.________), - Me Yvan Guichard (pour V.________).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