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TE10.004048 vom 12. Dezember 2012</w:t>
      </w:r>
    </w:p>
    <w:p>
      <w:r>
        <w:t>VD Tribunal cantonal, 2012-12-12, FR</w:t>
      </w:r>
    </w:p>
    <w:p>
      <w:r>
        <w:rPr>
          <w:b/>
        </w:rPr>
        <w:t xml:space="preserve">Quelle: </w:t>
      </w:r>
      <w:r>
        <w:t>https://mcp.opencaselaw.ch/entscheid/vd_gerichte_TE10.004048</w:t>
      </w:r>
    </w:p>
    <w:p>
      <w:r>
        <w:t>FR: VD_GERICHTE TE10.004048 du 12 décembre 2012</w:t>
      </w:r>
    </w:p>
    <w:p>
      <w:r>
        <w:t>IT: VD_GERICHTE TE10.004048 del 12 dicembre 2012</w:t>
      </w:r>
    </w:p>
    <w:p>
      <w:pPr>
        <w:pStyle w:val="Heading2"/>
      </w:pPr>
      <w:r>
        <w:t>Erwägungen</w:t>
      </w:r>
    </w:p>
    <w:p>
      <w:r>
        <w:rPr>
          <w:b/>
        </w:rPr>
        <w:t>E. 1</w:t>
      </w:r>
    </w:p>
    <w:p>
      <w:r>
        <w:t>a) Le jugement attaqué a été notifié le 11 juillet 2012, de sorte que les voies de droit sont régies par le CPC (Code de procédure civile du 19 décembre 2010; RS 272), entré en vigueur le 1er janvier 2011 (art. 405 al. 1 CPC). Toutefois, la procédure ayant été ouverte avant le 1er janvier 2011, le contrôle de la procédure suivie en première instance se fera en application de l'ancien droit de procédure civile (Tappy, CPC commenté, Bâle 2011, n. 24 ad art. 405 CPC; TF 4A_608/2011 du 23 janvier 2012 c. 3.3.2). b) L'appel, écrit et motivé, est introduit auprès de l'instance d'appel dans les trente jours à compter de la notification de la décision</w:t>
      </w:r>
    </w:p>
    <w:p>
      <w:r>
        <w:t>- 5 - motivée ou de la notification postérieure de la motivation (art. 311 al. 1 CPC). Les délais légaux ne courent pas du 15 juillet au 15 août inclus (art. 145 al. 1 let. b CPC). En l'espèce, le jugement a été retiré par le conseil de l'appelant le 12 juillet 2012 de sorte que deux jours se sont écoulés jusqu'à la suspension des délais. Au terme de la suspension, à savoir le 16 août 2012, l'appelant disposait ainsi d'un délai de vingt-huit jours. Formé en temps utile le 11 septembre 2012 par une partie qui y a intérêt (art. 59 al. 2 let. a CPC) et portant sur des conclusions patrimoniales dont la valeur litigieuse, capitalisée selon l'art. 92 CPC, est supérieure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w:t>
      </w:r>
    </w:p>
    <w:p>
      <w:r>
        <w:t>- 6 - c)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(Jeandin, CPC commenté, Bâle 2011, n. 18 ad art. 296 CPC et n. 4 ad art. 317 CPC; Reetz/Hilber, Kommentar zur Schweizerischen Zivilprozessordnung, Zurich 2010, n. 76 ad art. 317 CPC; Hohl, Procédure civile, tome II, 2ème éd., Berne 2010, nn. 2090 à 2092). Vu les principes énoncés ci-dessus, les conclusions chiffrées prises par l'appelant en deuxième instance sont recevables, sans qu'il importe que l'appelant, qui avait conclu initialement au paiement d'une pension mensuelle d'un montant fixé à dire de justice dès le 1er juillet 2008, n'ait pas précisé et chiffré ses conclusions par la suite en première instance.</w:t>
      </w:r>
    </w:p>
    <w:p>
      <w:r>
        <w:rPr>
          <w:b/>
        </w:rPr>
        <w:t>E. 3</w:t>
      </w:r>
    </w:p>
    <w:p>
      <w:r>
        <w:t>L'appelant relève que les parties n'ont pas eu la possibilité de se déterminer sur le résultat de l'analyse ADN, ni de préciser le montant de leurs conclusions, ni d'exposer leur appréciation juridique au moyen de plaidoiries et invoque une violation de son droit d'être entendu. Il relève cependant que le vice est réparable en deuxième instance, compte tenu du plein pouvoir d'examen de la Cour de céans. Il est vrai que la procédure suivie en l'espèce prête le flanc à la critique. L'audience de débats et de jugement du 24 février 2012 a été levée, sans que la clôture de l'instruction n'ait été prononcée. Au contraire, les premiers juges ont ordonné une expertise ADN. Si, contrairement à ce que plaide l'appelant, un délai a été imparti aux parties pour se déterminer sur le rapport d'expertise, le président a encore complété d'office l'instruction en requérant une pièce du CSR, sans la transmettre aux parties. Le jugement a ensuite été rendu, sans qu'il y ait</w:t>
      </w:r>
    </w:p>
    <w:p>
      <w:r>
        <w:t>- 7 - reprise d'audience et sans que les parties aient pu plaider leur cause. Leur droit d'être entendu a ainsi été violé. Il n'en résulte cependant aucun préjudice pour l'appelant. Ses conclusions prises en appel sont en effet recevables (cf. c. 2c ci-dessus) et il a pu exposer de manière complète ses moyens devant la Cour d'appel civile, qui dispose d'un libre pouvoir d'examen en fait et en droit. Le vice est ainsi réparé dans le cadre de la présente procédure et il n'y a pas lieu à annulation du jugement de ce chef (cf. TF 5A_791 du 23 mars 2011 publié in SJ 2011 I 345 c. 2.3.2 et 2.6 et réf. citées). L'appelant ne le requiert d'ailleurs pas. 4.1 a) L'appelant soutient qu'un revenu hypothétique de 4'800 fr. peut être retenu à charge de l'intimé, de sorte que la contribution d'entretien doit s'élever à 720 fr. par mois. Il y aurait en outre lieu de fixer deux paliers de 100 fr. supplémentaires à dix ans, respectivement seize ans. b/aa) Selon l'article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w:t>
      </w:r>
    </w:p>
    <w:p>
      <w:r>
        <w:t>- 8 -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Zurich 2009, n. 978, pp. 567-568; TF 5A_84/2007 du 18 septembre 2007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réf.cit.).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bb) Pour fixer la contribution d'entretien, le juge doit en principe tenir compte du revenu effectif du débirentier. Il peut toutefois lui imputer un revenu hypothétique supérieur. Le motif pour lequel le</w:t>
      </w:r>
    </w:p>
    <w:p>
      <w:r>
        <w:t>- 9 -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conditions financières modestes et s'agissant du calcul de la contribution envers un enfant mineur, des exigences</w:t>
      </w:r>
    </w:p>
    <w:p>
      <w:r>
        <w:t>- 10 -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p. 673). En présence de capacités financières limitées, le minimum vital du débirentier au sens du droit des poursuites doit en principe être</w:t>
      </w:r>
    </w:p>
    <w:p>
      <w:r>
        <w:t>- 11 - garanti (ATF 127 III 68, JT 2001 I 562 c. 2c). Lorsqu'un revenu hypothétique est admis, c'est au regard de ce revenu qu'il doit être examiné si le minimum vital du débiteur est sauvegardé (ATF 123 III 1 c.3) c) En l'espèce, c'est à tort que les premiers juges ont déduit du seul fait que l'intimé bénéficiait d'un revenu d'insertion depuis 2007 qu'aucun revenu hypothétique ne pouvait lui être imputé. Au vu de la jurisprudence citée ci-dessus, l'octroi d'un revenu d'insertion constitue tout au plus un indice permettant de retenir, en fait, qu'une personne a entrepris tout ce qu'on pouvait raisonnablement exiger d'elle pour éviter de se trouver sans revenus et, partant, qu'elle a fait des recherches pour retrouver un emploi. En l'espèce, l'intimé, qui est jeune, n'a établi aucune recherche d'emploi, ni fait valoir que des motifs liés à son état de santé l'empêcheraient d'obtenir un emploi. On doit dès lors admettre qu'il pourrait réaliser un revenu en faisant preuve des efforts que l'on peut exiger de lui. L'appelant se prévaut de données statistiques selon lesquelles le salaire mensuel brut moyen d'une personne sans formation professionnelle complète serait de 4'815 fr. dans la région lémanique. Ces données ne peuvent être retenues en l'espèce, car elles concernent des salaires médians. Il y a plutôt lieu de prendre en compte, conformément à la jurisprudence précitée, des possibilités de gain qui n'exigent pas de formation professionnelle achevée et se situent dans la tranche des bas salaires. Selon les allégations de l'appelant, l'intimé a arrêté son apprentissage dans le courant de l'année 2006 et n'a pas exercé d'activité lucrative depuis lors. Cela étant, on doit retenir un revenu hypothétique net de l'ordre de 3'000 fr., correspondant aux bas salaires dans une activité simple et répétitive. En effet, selon les données du Service cantonal de recherches et d'information statistiques (SCRIS; http://scris.vd.ch/Default.aspx?DomId=2072) les bas salaires dans le canton de Vaud pour une activité simple et répétitive, sans formation,</w:t>
      </w:r>
    </w:p>
    <w:p>
      <w:r>
        <w:t>- 12 - s'élèvent à 3'150 fr. brut dans la vente et ceux dans le domaine de la restauration à 3'080 fr. Selon la jurisprudence, un tel revenu hypothétique justifie une contribution d'entretien de 450 fr. par mois (15% de 3'000 fr.), qui doit être augmenté à 550 fr. dès l'âge de dix ans révolus et à 550 fr. dès l'âge de seize ans révolus et jusqu'à la majorité ou à l'indépendance financière, l'art. 277 al. 2 CC restant réservé. Concernant les charges de l'intimé, il résulte du budget de sa décision de revenu d'insertion que son loyer s'élève à 715 fr. et qu'il assume des frais particuliers pour 24 fr. 85. Il y a lieu en outre de tenir compte d'un montant de base de minimum vital de 1'200 francs. Ainsi, les charges de l'intimé s'élèvent au total à 1'939 fr. 85. Etant au bénéfice d'un revenu d'insertion, on peut admettre que sa prime d'assurance maladie est entièrement subsidiée. Il n'apparaît pas qu'il doive assumer des frais pour l'exercice du droit de visite, dont il n'est pas établi qu'il l'exerce, puisqu'il n'avait pas même reconnu l'enfant. Ainsi, les charges de l'intimé s'élèvent au total à 1'939 fr. 85. Cela étant son minimum vital n'est pas entamé par la contribution fixée. Le moyen de l'appelant est bien fondé dans la mesure qui précède. 4.2 a) Les premiers juges ont prononcé que la contribution d'entretien était due dès le 1er mars 2009. L'appelant conclut à ce qu'elle soit allouée dès le 15 juillet 2009. b) Selon l'art. 279 al. 1 CC, l'enfant peut agir contre son père et sa mère, ou contre les deux ensemble, afin de leur réclamer l'entretien pour l'avenir et pour l'année qui précède l'ouverture de l'action (Hegnauer, Droit de la filiation, 4ème éd., Berne 1998, n. 21.29, p. 147 ; Wullschleger, in FamKomm Scheidung, 2ème éd., Berne 2011, n. 15 ad art. 286 CC et les réf. citées). Par ouverture d'action, on entend l'acte de procédure par lequel une partie fait pour la première fois appel au juge dans les formes procédurales. Une requête de conciliation suffit, lorsque, selon le droit de procédure, la cause est transmise d'office au tribunal à défaut de</w:t>
      </w:r>
    </w:p>
    <w:p>
      <w:r>
        <w:t>- 13 - conciliation, ou si la partie a agi devant le juge dans le délai fixé à cet effet par la procédure cantonale (Hegnauer, Berner Kommentar, n. 49 ad art. 279 CC et n. 38-39 ad art. 256c CC). c) En l'espèce, l'appelant a ouvert action le 15 juillet 2009 par le dépôt d'une requête de conciliation, qui était obligatoire selon l'art. 128 CPC-VD (Code de procédure civile vaudoise du 14 décembre 1966) et a déposé la demande dans le délai de trente jours dès la délivrance de l'acte de non-conciliation (art. 137 CPC-VD). On doit dès lors retenir que l'action a bien été ouverte le 15 juillet 2009 et que, en vertu de l'art. 279 al. 1 CC, la contribution est due dès le 15 juillet 2008. Le moyen est bien fondé. 5.1 Les frais de deuxième instance, arrêtés à 600 fr. (art. 63 al. 1 TFJC (tarif des frais judiciaires civils du 28 septembre 2010; RSV 270.11.5), sont mis à raison de 1/5 (120 fr.) à la charge de l'appelant qui obtient gain de cause sur le principe et en partie sur la quotité de la contribution d'entretien et à raison de 4/5 (480 fr.) à la charge de l'intimé (art. 106 al. 2 CPC). L'appelant étant au bénéfice de l'assistance judiciaire, ses frais sont laissés à la charge de l'Etat. L'intimé versera à l'appelant une indemnité de 1'200 fr. à titre de dépens réduits de deuxième instance, représentant 4/5 de 1'500 francs (art. 95 al. 3 et 106 al. 2 CPC; art. 7 TDC [tarif des dépens en matière civile du 23 novembre 2010; RSV 270.11.6]). 5.2 Le conseil d'office de l'appelant a déposé, le 12 décembre 2012, une liste des opérations. Elle indique que 10 heures et 10 minutes ont été consacrées à la procédure d'appel, dont 8 heures 10 minutes ont été assumées par un avocat-stagiaire. Vu les opérations effectuées, il y a lieu de réduire le temps consacré au dossier à 9 heures, soit une heure pour le conseil d'office et 8 heures pour le stagiaire. Au tarif horaire de 180 fr. pour l'activité d'un avocat breveté et de 110 fr. pour celle d'un</w:t>
      </w:r>
    </w:p>
    <w:p>
      <w:r>
        <w:t>- 14 - stagiaire (art. 2 RAJ [Règlement sur l'assistance judiciaire en matière civile du 7 décembre 2010, RSV 211.02.3]), l'indemnité du conseil de l'appelant doit donc être fixée à 1'144 fr. 80, TVA comprise. Des débours peuvent en outre lui être alloués à hauteur de 53 fr. 80, TVA comprise. Aussi, l'indemnité d'office de Me Antonella Cereghetti Zwahlen doit être arrêtée à 1'198 fr. 60, TVA et débours compris. Dans la mesure de l'art. 123 CPC, le bénéficiaire de l'assistance judiciaire est tenu au remboursement des frais judiciaires et de l'indemnité à son conseil d'office mis à la charge de l'Etat.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