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TE09.017576 vom 7. August 2012</w:t>
      </w:r>
    </w:p>
    <w:p>
      <w:r>
        <w:t>VD Tribunal cantonal, 2012-08-07, FR</w:t>
      </w:r>
    </w:p>
    <w:p>
      <w:r>
        <w:rPr>
          <w:b/>
        </w:rPr>
        <w:t xml:space="preserve">Quelle: </w:t>
      </w:r>
      <w:r>
        <w:t>https://mcp.opencaselaw.ch/entscheid/vd_gerichte_TE09.017576</w:t>
      </w:r>
    </w:p>
    <w:p>
      <w:r>
        <w:t>FR: VD_GERICHTE TE09.017576 du 7 août 2012</w:t>
      </w:r>
    </w:p>
    <w:p>
      <w:r>
        <w:t>IT: VD_GERICHTE TE09.017576 del 7 agosto 2012</w:t>
      </w:r>
    </w:p>
    <w:p>
      <w:pPr>
        <w:pStyle w:val="Heading2"/>
      </w:pPr>
      <w:r>
        <w:t>Erwägungen</w:t>
      </w:r>
    </w:p>
    <w:p>
      <w:r>
        <w:rPr>
          <w:b/>
        </w:rPr>
        <w:t>E. 1</w:t>
      </w:r>
    </w:p>
    <w:p>
      <w:r>
        <w:t>a) Le jugement attaqué a été rendu le 19 janvier 2012, de sorte que les voies de droit sont régies par le CPC (Code de procédure civile suisse du 19 décembre 2008, RS 272), entré en vigueur le 1er janvier 2011 (art. 405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En l’espèce, seules restent litigieuses la question de l’éventuelle obligation d’entretien de l’intimé en faveur de sa fille G.________ et celle de la prise en charge des frais de voyage de l’enfant F.________ lorsqu’elle vient en Suisse pour permettre à l’appelante</w:t>
      </w:r>
    </w:p>
    <w:p>
      <w:r>
        <w:t>- 9 - d’exercer son droit de visite. Capitalisée conformément à l’art. 92 al. 2 CPC, la valeur litigieuse est supérieure à 10'000 francs. L’appel est par conséquent ouvert. Formé en temps utile (art. 311 al. 1 CPC)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w:t>
      </w:r>
    </w:p>
    <w:p>
      <w:r>
        <w:t>- 10 -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La cause étant en l’espèce soumise à la maxime inquisitoire illimitée vu qu’elle porte sur les conséquences pécuniaires du sort d’un enfant mineur (cf. infra c. 4b/bb), le décompte produit par l’appelante à l’appui de son appel est recevable ; son contenu a dès lors été pris en compte dans l’établissement des faits. Il en va de même des pièces produites par l’intimé, qui ont également été prises en compte dans l’établissement des faits.</w:t>
      </w:r>
    </w:p>
    <w:p>
      <w:r>
        <w:rPr>
          <w:b/>
        </w:rPr>
        <w:t>E. 3</w:t>
      </w:r>
    </w:p>
    <w:p>
      <w:r>
        <w:t>La cause présentant des éléments d’extranéité au moment où l’appel a été déposé, il y a lieu de déterminer à titre liminaire si les tribunaux suisses étaient compétents et si la cause était régie par le droit suisse. A teneur de l’art. 64 LDIP (Loi fédérale du 18 décembre 1987 sur le droit international privé, RS 291), les tribunaux suisses sont compétents pour connaître d’une action en modification d’un jugement de divorce s’ils ont prononcé ce jugement ou s’ils sont compétents en vertu des art. 59 ou 60 LDIP, l’art. 85 LDIP relatif à la protection des mineurs étant réservée (al. 1) ; l’action en modification du divorce est par ailleurs régie par le droit applicable au divorce, sous réserve notamment de l’art. 85 LDIP relatif à la protection des mineurs (al. 2). Dans la mesure où l’art. 85 LDIP renvoie à la CLaH 1961 (Convention de la Haye du 5 octobre 1961 concernant la compétence des autorités et la loi applicable en matière de protection des mineurs, RS 0.211.231.01) et que la question de l’entretien des enfants mineurs – seule question litigieuse en l’espèce – est exclue du champ d’application de cette convention (ATF 138 III 11 c. 5.1 et les réf. citées ; ATF 126 III 298 c. 2a/bb et les réf. citées), la compétence des</w:t>
      </w:r>
    </w:p>
    <w:p>
      <w:r>
        <w:t>- 11 - tribunaux et le droit applicable se déterminent en l’espèce au seul regard de l’art. 64 LDIP. Le jugement de divorce ayant été rendu par un tribunal suisse faisant application du droit suisse, les tribunaux suisses étaient compétents au moment où l’appel a été déposé pour connaître de l’action en modification dudit jugement ; la cause est par ailleurs régie par le droit suisse.</w:t>
      </w:r>
    </w:p>
    <w:p>
      <w:r>
        <w:rPr>
          <w:b/>
        </w:rPr>
        <w:t>E. 4</w:t>
      </w:r>
    </w:p>
    <w:p>
      <w:r>
        <w:t>a) Dans un premier moyen, l’appelante reproche aux premiers juges de ne pas avoir astreint l’intimé à verser une contribution d’entretien en faveur de l’enfant G.________. Elle conteste l’argumentation du tribunal selon laquelle aucune contribution ne serait due par l’une ou l’autre des parties dès lors que chacune d’elles assume l’entretien de l’enfant dont elle a la garde. Dans ce cadre, l’appelante fait valoir qu’elle est au bénéfice du revenu d’insertion, à tout le moins depuis 2008, et fait grief aux premiers juges d’avoir statué sur la question de l’obligation d’entretien sans établir la situation financière des parties, notamment celle de l’intimé, violant ainsi la maxime inquisitoire illimitée à laquelle est soumise la cause. b) aa) Aux termes de l’art. 134 al. 1 CC, à la requête du père ou de la mère, de l’enfant ou de l’autorité tutélaire, l’attribution de l’autorité parentale doit être modifiée lorsque des faits nouveaux importants l’exigent pour le bien de l’enfant ; selon l’art. 134 al. 2 CC, les conditions se rapportant à la modification de la contribution d’entretien ou aux relations personnelles sont définies par les dispositions relatives aux effets de la filiation.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w:t>
      </w:r>
    </w:p>
    <w:p>
      <w:r>
        <w:t>- 12 - subi un changement notable et, en principe, durable ; elle doit a fortiori n’être envisagée que dans la perspective du bien de l’enfant (Breitschmid, in Basler Kommentar, 4e éd., Bâle 2010, nn. 3 et 4 ad art. 134 CC ; ATF 120 II 177 c. 3a) ; elle peut intervenir sans qu’il soit besoin d’examiner si les faits nouveaux invoqués pour la justifier étaient ou non prévisibles au jour du premier jugement (ATF 131 III 189 c. 2.7.4, JT 2005 I 324 ; ATF 128 III 305 c. 5b, JT 2003 I 50 ; Hegnauer, in Berner Kommentar, Berne 1997, n. 67 ad art. 286 CC ; Breitschmid, op. cit., n. 11 ad art. 286 CC). La procédure de modification ne doit pas viser à réexaminer ou corriger le jugement de divorce, mais à l’adapter aux circonstances nouvelles survenues chez les parents ou chez l’enfant (TF 5C_216/2003 du 7 janvier 2004 c. 4.1 ; TF 5C_271/2001 du 19 mars 2002, reproduit in FamPra.ch 2002, p. 601 ; ATF 120 Il 177 précité c. 3a ; ATF 100 lI 76 c. 1 ; Hegnauer, op. cit., n. 67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(ATF 137 III 604 c. 4.1.1). L'art. 276 al. 1 CC impose aux père et mère de pourvoir à l'entretien de l'enfant et d'assumer par conséquent les frais de son éducation, de sa formation et des mesures prises pour le protéger.</w:t>
      </w:r>
    </w:p>
    <w:p>
      <w:r>
        <w:t>- 13 -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applicable par renvoi de l’art. 133 al. 1 CC). Ces différents critères doivent être pris en considération ; ils exercent une influence réciproque les uns sur les autres. Ainsi, les besoins de l'enfant doivent être examinés en relation avec les autres éléments évoqués et la contribution d'entretien doit toujours être dans un rapport raisonnable avec le niveau de vie et la capacité contributive du débirentier (ATF 116 II 110, JT 1993 I 162 c. 3a). bb) Dans les causes touchant au sort des enfants et aux conséquences pécuniaires de celui-ci, y compris celles en modification de jugement de divorce, le droit fédéral impose la maxime d'office et la maxime inquisitoire. Avant l’entrée en vigueur du CPC, ces exigences étaient fixées à l’art. 145 al. 1 aCC, qui avait codifié la jurisprudence antérieure (cf. Message, in FF 1996 I, pp. 1 ss, spéc. p. 148 ; ATF 122 III 404 c. 3d, JT 1998 I 46 ; ATF 120 II 229 c. 1c ; ATF 119 II 201 c. 1 ; Poudret/Haldy/Tappy, Procédure civile vaudoise, 3e éd., Lausanne 2002, n. 3 ad art. 455 CPC-VD [Code de procédure civile vaudoise du 14 décembre 1966]), ainsi qu’à l’art. 455 CPC-VD, lequel s’appliquait à la procédure de première instance en vertu de l’art. 404 al. 1 CPC ;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 ATF 120 II 229 précité ; Werro, Concubinage, mariage et démariage, Berne 2000, n. 736, p. 160, et n. 875, p. 189 ; Sutter/Freiburghaus, Kommentar zum neuen Scheidungsrecht, Zurich</w:t>
      </w:r>
    </w:p>
    <w:p>
      <w:r>
        <w:t>- 14 - 1999, nn. 10 et 11 ad art. 145 CC ; Poudret/Haldy/Tappy, op. cit., n. 1 ad art. 3 CPC-VD ; Jeandin, op. cit., nn. 2 ss et 14 ss ad art. 296 CPC). c) En l’espèce, il n’est pas contesté que des faits nouveaux importants et durables sont survenus depuis que les parties ont passé, le 20 juillet 2008, leur convention de modification de jugement de divorce, par laquelle les parties étaient convenues d’attribuer l’autorité parentale et la garde de leurs deux enfants à l’intimé, lequel s’était par ailleurs engagé à renoncer à demander à l’appelante une contribution d’entretien en leur faveur. C’est donc à juste titre que les premiers juges sont entrés en matière sur la demande. Dans la mesure où les premiers juges ont modifié l’attribution de l’autorité parentale et de la garde de l’enfant G.________, ce qui n’est plus litigieux en appel, il leur appartenait de statuer d’office, nonobstant l’absence de conclusions, sur la question de l’entretien de cet enfant, sur la base d’une situation financière actualisée des parties, le cas échéant en tenant compte de ce que celles-ci avaient convenu au moment du divorce, respectivement lorsqu’elles ont établi leur convention du 20 juillet 2008, dès lors que, comme rappelé ci-dessus, la procédure de modification n’a pas pour but de faire réexaminer ou corriger le jugement de divorce, mais uniquement de l’adapter aux circonstances nouvelles survenues chez les parents ou chez l’enfant. Force est pourtant de constater que le tribunal n’a procédé à aucune instruction sur la situation financière des parties et qu’il s’est limité à relever que, dans la mesure où chacun des parents assumait l’entretien d’un enfant, il n’y avait pas lieu de prévoir de pension à la charge de l’intimé. S’il est vrai que les parties n’ont rien allégué quant à leur situation financière ni produit aucune pièce attestant de celle-ci en première instance, se focalisant sur les questions de l’autorité parentale et de la garde des enfants, la maxime inquisitoire imposait au tribunal d’établir la situation financière des parties avant de statuer sur une éventuelle obligation d’entretien à charge de l’une d’elles.</w:t>
      </w:r>
    </w:p>
    <w:p>
      <w:r>
        <w:t>- 15 - Si la convention du 20 juillet 2008 prévoyait certes qu’aucune contribution n’était due par l’appelante – qui n’avait alors pour seul revenu que les prestations du revenu d’insertion – pour ses enfants dont la garde avait été confiée à l’intimé, on ne saurait en déduire qu’aucune contribution ne serait due par l’intimé en faveur de sa fille G.________, dont la garde est désormais confiée à l’appelante. On ne saurait par ailleurs considérer qu’il n’y a pas lieu d’astreindre l’intimé à verser une contribution en faveur de la fille dont il n’a pas la garde au seul motif que chaque parent a la garde d’un des deux enfants ; en effet, cela reviendrait à exiger des deux parents qu’ils contribuent de manière égale à l’entretien de leurs deux enfants, et non selon leur capacité contributive respective comme l’exige l’art. 285 al. 1 CC. En définitive, la question de l’obligation d’entretien ne peut pas être traitée sans prise en compte de la situation financière actualisée des parties. Dans la mesure où l’état de fait du jugement attaqué est muet sur ce point, il y a lieu d’annuler d’office ledit jugement et de renvoyer la cause au tribunal pour nouvelle instruction et nouvelle décision. Il est vrai que les parties ont allégué en deuxième instance quelques éléments relatifs à leur situation financière ; ceux-ci sont toutefois trop lacunaires et pas suffisamment établis pour permettre à la cour de céans de statuer en réforme. Au surplus, il n’incombe pas à la cour de céans de procéder à une instruction complète sur la situation financière des parties, alors qu’une telle instruction n’a pas eu lieu en première instance. Le droit des parties à la double instance doit en effet être garanti. Vu ce qui précède, il n’y a pas lieu d’examiner si c’est à juste titre que les premiers juges ont considéré que chaque partie devait assumer l’un des deux voyages annuels vers la Suisse de l’enfant F.________ nécessaires à l’exercice du droit de visite de la mère, d’autant moins que l’intimé est revenu depuis lors s’établir en Suisse accompagné de sa fille.</w:t>
      </w:r>
    </w:p>
    <w:p>
      <w:r>
        <w:t>- 16 -</w:t>
      </w:r>
    </w:p>
    <w:p>
      <w:r>
        <w:rPr>
          <w:b/>
        </w:rPr>
        <w:t>E. 5</w:t>
      </w:r>
    </w:p>
    <w:p>
      <w:r>
        <w:t>En conclusion, l’appel doit être admis, le jugement annulé et la cause renvoyée au tribunal pour nouvelle instruction et nouveau jugement dans le sens des considérants. L’issue du litige demeurant incertaine, les frais judiciaires de deuxième instance, arrêtés à 600 fr. (art. 63 al. 1 TFJC [Tarif des frais judiciaires civils du 28 septembre 2010, RSV 270.11.5]), seront mis à la charge de chacune des parties par moitié. Les parties plaidant toutes deux au bénéfice de l’assistance judiciaire, ces frais seront toutefois laissés à la charge de l’Etat. Les dépens de deuxième instance seront en outre compensés.</w:t>
      </w:r>
    </w:p>
    <w:p>
      <w:r>
        <w:rPr>
          <w:b/>
        </w:rPr>
        <w:t>E. 6</w:t>
      </w:r>
    </w:p>
    <w:p>
      <w:r>
        <w:t>Le conseil d’office de l’appelante a déposé, le 30 juillet 2012, une liste des opérations, dont il ressort qu’il a consacré 3 h. 40 à la procédure d’appel, ce qui paraît justifié vu l’ampleur du litige et le travail accompli. Au tarif horaire de 180 fr. (art. 2 RAJ [Règlement sur l’assistance judiciaire en matière civile du 7 décembre 2010, RSV 211.02.3]), l’indemnité d’honoraires doit être fixée à 712 fr. 80, TVA comprise. Les débours peuvent être retenus à hauteur des montants allégués, soit 63 fr. 70, TVA comprise. Aussi, l’indemnité d’office de Me Eduardo Redondo doit être arrêtée à 776 fr. 50. Le 26 juillet 2012, le conseil d’office de l’intimé a également déposé une liste des opérations, dont il ressort qu’il a consacré 6 h. 30 à la cause et assumé des débours de 50 francs. Compte tenu de l’ampleur du litige et du travail accompli, l’indemnité d’honoraires doit être fixée à 874 fr. 80, TVA comprise, ce qui correspond à 4 h. 30. Les débours peuvent être retenus à hauteur de 54 fr., TVA comprise. L’indemnité d’office de Me Henriette Dénéréaz Luisier doit ainsi être fixée à 928 fr. 80.</w:t>
      </w:r>
    </w:p>
    <w:p>
      <w:r>
        <w:t>- 17 - Dans la mesure de l’art. 123 CPC, les bénéficiaires de l’assistance judiciaire sont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