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TE08.012875 vom 8. Mai 2009</w:t>
      </w:r>
    </w:p>
    <w:p>
      <w:r>
        <w:t>VD Tribunal cantonal, 2009-05-08, FR</w:t>
      </w:r>
    </w:p>
    <w:p>
      <w:r>
        <w:rPr>
          <w:b/>
        </w:rPr>
        <w:t xml:space="preserve">Quelle: </w:t>
      </w:r>
      <w:r>
        <w:t>https://mcp.opencaselaw.ch/entscheid/vd_gerichte_TE08.012875</w:t>
      </w:r>
    </w:p>
    <w:p>
      <w:r>
        <w:t>FR: VD_GERICHTE TE08.012875 du 8 mai 2009</w:t>
      </w:r>
    </w:p>
    <w:p>
      <w:r>
        <w:t>IT: VD_GERICHTE TE08.012875 del 8 maggio 2009</w:t>
      </w:r>
    </w:p>
    <w:p>
      <w:pPr>
        <w:pStyle w:val="Heading2"/>
      </w:pPr>
      <w:r>
        <w:t>Erwägungen</w:t>
      </w:r>
    </w:p>
    <w:p>
      <w:r>
        <w:rPr>
          <w:b/>
        </w:rPr>
        <w:t>E. 3</w:t>
      </w:r>
    </w:p>
    <w:p>
      <w:r>
        <w:t>a) La recourante reproche aux premiers juges d'avoir violé l’art. 134 aI. 1 CC en rejetant son action alors que des faits nouveaux importants exigeraient pour le bien des enfants une modification de l’attribution de l’autorité parentale; elle leur fait en outre grief de n'avoir pas tenu compte de l’art. 133 al. 3 CC en ce sens que le maintien de l’autorité parentale conjointe ne serait plus compatible avec le bien des enfants. Elle invoque les tensions entre parties, l’absence d’intérêt du père pour le développement des enfants, l’inexistence du dialogue entre parents et les questionnements perturbateurs de l’enfant aîné par son père au sujet de sa mère, pour en tirer que le maintien de l’autorité parentale conjointe ne serait plus possible. Elle affirme en outre qu'une mesure de curatelle d’assistance éducative ne changerait rien à cet échec. A cet égard, elle considère que les premiers juges ont fait une mauvaise application de l'art. 308 al. 1 CC et conteste la mise en place de la curatelle en la qualifiant de tardive et d’inappropriée, car revenant à sanctionner la mère en raison des actes et comportements du père. Pour sa part, l'intimé ne conteste pas les difficultés de dialogue entre parties, mais a souligné qu’aucune décision importante pour les enfants n’en aurait été bloquée ou paralysée. En référence aux témoignages recueillis, il conteste se désintéresser de ses enfants et met en avant leur attachement réciproque, la fierté qu’il en éprouve et le bon déroulement de leurs relations personnelles. Pour le surplus, il dénonce l’attitude "oppositionnelle et revancharde" de la recourante et s’insurge contre l’inégalité de traitement entre parents qu’entraînerait le retrait de son autorité parentale alors qu’il n’aurait pas démérité et que l’intérêt des enfants en pâtirait. Enfin, il évoque le projet de révision législative faisant</w:t>
      </w:r>
    </w:p>
    <w:p>
      <w:r>
        <w:t>- 11 - de l’autorité parentale conjointe, notamment après divorce, la règle et non l’exception (Message du Conseil fédéral, FF 2009 522). b) La question à résoudre en l'espèce consiste à déterminer si des conflits entre époux divorcés, détenteurs d’une autorité parentale conjointe sur leurs deux enfants, justifient la modification du jugement de divorce et commandent de n’attribuer l’autorité parentale qu’au seul parent ayant le droit de garde ou si ces conflits doivent déboucher sur une mesure, instituée d’office, d’appui aux parents pour les aider à collaborer tout en maintenant le régime de l’autorité parentale conjointe.</w:t>
      </w:r>
    </w:p>
    <w:p>
      <w:r>
        <w:rPr>
          <w:b/>
        </w:rPr>
        <w:t>E. 4</w:t>
      </w:r>
    </w:p>
    <w:p>
      <w:r>
        <w:t>a) Entré en vigueur le 1er janvier 2000, le nouveau droit suisse du divorce prévoit la possibilité d’exercer en commun l’autorité parentale (art. 133 al. 3 CC). L’autorité parentale se définit comme le pouvoir légal des parents de prendre les décisions nécessaires pour l’enfant mineur; elle constitue la base juridique de l’éducation et de la représentation de l’enfant, tout comme de l’administration de ses biens, par les père et mère (Hegnauer, Droit suisse de la filiation, 4ème éd., Berne 1998, n. 25.02, p. 163). Ce droit se définit comme la compétence de déterminer le lieu de la résidence et le mode de la prise en charge de l’enfant (Meier/Stettler, Droit de la filiation, Droit civil suisse, 4ème éd., Genève/Zurich/Bâle 2009, n. 800, p. 473). L’autorité parentale peut toutefois être amputée du droit de garde par décision du juge ou de l’autorité tutélaire (ibidem). En ce qui concerne le fondement de l’autorité parentale conjointe, le considérant 7.2 de l’arrêt rendu par le Tribunal fédéral en matière fiscale le 4 septembre 2007 (ATF 133 II 305 p. 314) a la teneur suivante : "Selon le message du Conseil fédéral, l’introduction de l’autorité parentale conjointe repose essentiellement sur l’idée que le divorce concerne la relation du couple et non pas celle des parents et de l’enfant. Elle a pour but de minimiser les conséquences traumatisantes du divorce pour l’enfant, en favorisant le maintien de bonnes et étroites relations entre celui-ci et chaque parent. Elle tient compte de ce que les divorces conflictuels sont souvent remplacés par des</w:t>
      </w:r>
    </w:p>
    <w:p>
      <w:r>
        <w:t>- 12 - séparations à l’amiable assorties d’une réglementation consensuelle dont ne doivent pas être exclues les questions relatives aux enfants, l’Etat devant s’abstenir autant que possible d’intervenir dans les relations de droit privé. Trouvés à l’amiable plutôt qu’imposés par l’autorité judiciaire, les arrangements relatifs à l’enfant semblent en outre être plus solides (message du Conseil fédéral du 15 novembre 1995 concernant la révision du code civil suisse [concernant notamment le divorce et le droit de la filiation], FF 1996 I 1 ss, p. 130 ss)." b) Aux termes de l'art. 134 CC, à la requête du père ou de la mère, de l'enfant ou de l'autorité tutélaire, l'attribution de l'autorité parentale doit être modifiée lorsque des faits nouveaux importants l'exigent pour le bien de l'enfant (al. 1); lorsqu'il statue sur l'autorité parentale ou la contribution d'entretien d'un enfant mineur, le juge modifie au besoin la manière dont les relations personnelles ont été réglées (...) (al. 4). Le juge établit d’office les faits (art. 145 al. 1 CC); au besoin, il fait appel à des experts et se renseigne auprès de l’autorité tutélaire ou d’un autre service de l’aide à la jeunesse (art. 145 al. 2 CC). En application de l’art. 144 al. 2 CC, le juge ou un tiers nommé à cet effet entend en principe les enfants personnellement. Une nouvelle réglementation de l'autorité parentale ne dépend pas seulement de l'existence de circonstances nouvelles importantes; elle doit aussi être commandée par le bien de l'enfant. Selon la jurisprudence relative à l'art. 157 aCC, laquelle reste pleinement applicable au nouveau droit sur ce point, la modification ne peut être envisagée que si le maintien de la réglementation actuelle risque de porter atteinte au bien de l'enfant et le menace sérieusement; elle ne peut être envisagée que si elle s'impose impérativement (TF 5C.32/2007 du 10 mai 2007 c. 4.1 et les références jurisprudentielles citées). Chaque divergence des parents concernant les enfants ne constitue pas des faits nouveaux importants. L’autorité parentale conjointe ne peut être simplement “résiliée”. Les conditions de retrait ne</w:t>
      </w:r>
    </w:p>
    <w:p>
      <w:r>
        <w:t>- 13 - sont toutefois pas aussi strictes que celles du retrait de l’autorité parentale. Elles impliquent surtout que les fondements essentiels de la responsabilité commune des parents n’existent plus et que, dans l’intérêt de l’enfant, l’autorité parentale doit être attribuée à l’un des deux parents (Meier/Stettler, op. cit., n. 511, p. 302 s.). Il faut que les parents ne soient plus en mesure de coopérer pour le bien de l’enfant (Schwenzer, Basler Kommentar, 2ème éd., n. 13 ad art. 298a CC, p. 1581). Pour la suppression de l'autorité parentale conjointe, il est nécessaire, mais aussi suffisant, que les conditions essentielles pour une responsabilité commune des parents ne soient plus données, de telle sorte que le bien de l'enfant exige que l'autorité parentale ne soit confiée qu'à l'un des parents; tel peut notamment être le cas lorsque la volonté de coopération des parents n’existe plus. Savoir si une modification essentielle est survenue doit s'apprécier en fonction de toutes les circonstances du cas d'espèce (TF 5C.32/2007 précité c. 4.1; TF 5P.212/2002 du 12 novembre 2002 c. 2.2.3 publié in FamPra.ch 2003 p. 449; Ingeborg Schweizer, Basler Kommentar, 3ème éd., Genève 2006, n. 13 ad art. 298a CC, p. 1576). Il faut tenir compte du conflit de loyauté dans lequel un enfant, âgé notamment d’une dizaine d’années, peut se trouver (TF 5C.52/2005 du 1er juillet 2005). L’absence de communication suffisante entre parents peut justifier de supprimer l’autorité parentale conjointe (Ch. tut., 270, 6 octobre 2006).</w:t>
      </w:r>
    </w:p>
    <w:p>
      <w:r>
        <w:rPr>
          <w:b/>
        </w:rPr>
        <w:t>E. 5</w:t>
      </w:r>
    </w:p>
    <w:p>
      <w:r>
        <w:t>En l’espèce, si chacun des parents paraît attaché aux enfants et leur témoigne de l’affection, selon les témoignages recueillis, les rapports du père et de la mère sont cependant lourdement conflictuels. Il est établi que l'intimé n’a pas respecté son devoir d’entretien à l’égard de ses fils. La recourante s’est adressée au BRAPA qui lui a consenti une avance mensuelle de 61 fr. à partir de mars 2008 et qui a réclamé à l’intimé un arriéré de 4’200 fr. en avril 2008 correspondant aux contributions impayées pour la période de 6 mois allant du 1er octobre 2007 au 31 mars 2008, puis a calculé, selon une lettre du 29 mai 2008,</w:t>
      </w:r>
    </w:p>
    <w:p>
      <w:r>
        <w:t>- 14 - que le minimum vital de celui-ci laissait subsister une quotité saisissable de 480 francs, ce qui lui aurait permis de verser 3’360 fr. depuis sept mois. Selon des quittances datées de juin, juillet et août 2008, l'intimé a versé au BRAPA trois fois 480 francs. Par ailleurs, bien que l'intimé ait nié harceler ses fils de questions au sujet de leur mère, l’audition du fils aîné a précisément établi le contraire, soit que ce questionnement insistant non seulement existait, mais qu’il dérangeait l’enfant. D’ailleurs, si la recourante s’en est plainte en procédure, c’est forcément parce que l’enfant lui en a fait part. Un témoin a également confirmé que les enfants redoutaient les questions de leur père à propos de leur mère. A l’inverse, selon le résumé transmis aux parties par lettre du 19 novembre 2008, l’audition des enfants a fait ressortir qu’ils désirent continuer à vivre avec leur mère, qu’ils s’entendent bien avec elle, qu’elle suit leurs leçons, ne critique pas leur père et ne les questionne pas. L’exercice du droit de visite est parfois litigieux, la mère reprochant à l’intimé de ne pas respecter le cadre fixé ou de ne la prévenir que très tardivement de sa venue pour prendre les enfants. Le dialogue et la collaboration entre les parties au sujet de leurs enfants paraissent inexistants. Les premiers juges ont considéré à cet égard que des mesures s’avéraient nécessaires pour faciliter ce dialogue indispensable, notamment, à l’exercice de l’autorité parentale dans de bonnes conditions. Si malgré cette mésentente aucune décision importante n’a été bloquée ou retardée en raison du caractère conjoint de l’autorité parentale, c’est vraisemblablement parce qu’il n’y a pas ou peu eu de décisions fondamentales à prendre ou parce qu’elles ont été prises uniquement par le parent détenteur du droit de garde. En effet, il n’est pas vraisemblable que les parties aient développé une capacité de collaborer en matière d’autorité parentale alors qu’elles s’opposent sur tous les composants de leur fonction parentale tels qu'entretien, droit de visite, respect de l’autre parent pour favoriser le développement de la personnalité et le bien-être des enfants, etc...</w:t>
      </w:r>
    </w:p>
    <w:p>
      <w:r>
        <w:t>- 15 - La persistance et la virulence de ce conflit qui génère des comportements nuisibles au bien des enfants comme l’hostilité et la méfiance perceptibles de leurs parents, le fait de constituer pour ces adultes un terrain d’affrontement au lieu d’exprimer la convergence d’intérêts affectifs communs, la violation par leur père de son devoir d’entretien envers eux et les difficultés qui en découlent pour leur mère, le conflit de loyauté et les sentiments de trahison susceptibles d’émerger des réponses à donner aux questions intrusives du père au sujet de la mère, constituent des faits nouveaux importants. Aucune mesure d'assistance ne saurait être à même de permettre une collaboration satisfaisante entre les parties dans le cadre actuel de leur autorité parentale conjointe. En raison de l'opposition systématique entre les parents, et de leur attitude consistant à régler leurs conflits personnels par enfants interposés, il n'est pas conforme à l'intérêt de ces derniers que la situation actuelle, dont ils ne peuvent que souffrir, se prolonge. La suppression de l'autorité parentale conjointe est ainsi de nature à éloigner le conflit de loyauté auquel les enfants sont exposés. Compte tenu de ce qui précède, il apparaît que la volonté de coopération des parents fait irrémédiablement défaut, que les fondements essentiels de leur responsabilité commune n’existent plus et que l'intérêt des enfants commande de mettre fin à l'exercice commun de l’autorité parentale.</w:t>
      </w:r>
    </w:p>
    <w:p>
      <w:r>
        <w:rPr>
          <w:b/>
        </w:rPr>
        <w:t>E. 6</w:t>
      </w:r>
    </w:p>
    <w:p>
      <w:r>
        <w:t>L'autorité parentale conjointe supprimée, il s'agit encore de déterminer à quel parent l'autorité parentale sur les enfants C.V.________ et D.V.________ doit être confiée. a) D'après l'art. 133 al. 2 CC, lorsqu'il attribue l'autorité parentale et règle les relations personnelles, le juge tient compte de toutes les circonstances importantes pour le bien de l'enfant; il prend en</w:t>
      </w:r>
    </w:p>
    <w:p>
      <w:r>
        <w:t>- 16 - considération une éventuelle requête commune des parents et, autant que possible, l'avis de l'enfant. 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de même que, le cas échéant, les rapports qu'entretiennent plusieurs enfants entre eux;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similaires (TF 5A_181/2008 du 25 avril 2008 c. 3.1 et les références jurisprudentielles citées). Lorsque les capacités éducatives sont équivalentes, la disponibilité d'un parent à collaborer avec l'autre pour ce qui a trait à l'enfant jouera un rôle déterminant (TF 5A_43/2008 du 15 mai 2008, RDT 2008 354). Lorsque les conditions d'attribution des droits parentaux sont réalisées à peu près de la même manière chez les deux parents, qui présentent des capacités éducatives équivalentes et une disponibilité identique, le critère de la stabilité commande d'éviter les changements inutiles dans l'environnement du mineur, qui sont de nature à perturber un développement harmonieux, en particulier chez l'enfant en bas âge. Certes, la situation à un moment donné n'est pas seule déterminante; il convient bien plutôt d'examiner lequel des parents est, selon toute probabilité, à même d'offrir à l'enfant, de manière durable, un milieu favorable et stable (TF 5A_181/2008 précité c. 3.4).</w:t>
      </w:r>
    </w:p>
    <w:p>
      <w:r>
        <w:t>- 17 - Le désir d'attribution exprimé par l'enfant peut jouer un rôle important s'il apparaît, sur le vu de son âge et de son développement, qu'il s'agit d'une ferme résolution de sa part et que ce désir reflète une relation affective étroite avec le parent désigné (ATF 122 III 401 c. 3b p. 402 s; cf. aussi ATF 126 III 497 c. 4 p. 498 s.). Le juge appelé à se prononcer sur le fond, qui de par son expérience en la matière connaît le mieux les parties et le milieu dans lequel l'enfant doit vivre, dispose d'un large pouvoir d'appréciation (ATF 117 Il 353 c. 3; TF 5C.274/2001 du 23 mai 2002). b) En l'espèce, par jugement de divorce du 19 novembre 2007, la garde des enfants a été attribuée à A.V.________, ce que B.V.________ a renoncé à contester. Les enfants vivent ainsi depuis un an et demi avec leur mère. Entendus dans le cadre de la procédure de première instance, ceux-ci, âgés respectivement de 7 et 5 ans, ont exprimé le désir de continuer à vivre avec elle, avec laquelle ils s’entendent bien, et qui suit leurs leçons, ne critique pas leur père et ne les questionne pas; ils ont également indiqué avoir un bon contact avec l'ami de leur mère. La recourante est apte à s'occuper de ses enfants et à prendre soin d'eux personnellement. On peut relever les conditions de vie favorables qu'elle leur offre et l'absence de défaillances dans son rôle de mère. Il est établi qu'elle est capable de leur assurer un cadre éducatif valable et stable, à même de leur permettre un développement harmonieux. Par ailleurs, tant la recourante que l'intimé ont refait leur vie. On se trouve donc dans une situation stable et il y a lieu d'éviter tout changement inutile perturbant pour les enfants, d'autant plus que l'attribution de l'autorité parentale exclusive à leur père n'est justifiée par aucune raison impérative. Dès lors, au regard de l'exigence de stabilité prônée par la jurisprudence, l'intérêt des enfants commande que l'autorité parentale soit attribuée exclusivement à leur mère.</w:t>
      </w:r>
    </w:p>
    <w:p>
      <w:r>
        <w:t>- 18 -</w:t>
      </w:r>
    </w:p>
    <w:p>
      <w:r>
        <w:rPr>
          <w:b/>
        </w:rPr>
        <w:t>E. 7</w:t>
      </w:r>
    </w:p>
    <w:p>
      <w:r>
        <w:t>Compte tenu de ce qui précède, l’institution d’une curatelle d’assistance éducative pour maintenir et améliorer l’autorité parentale conjointe telle que décidée par les premiers juges n’a plus d’objet et doit être supprimée.</w:t>
      </w:r>
    </w:p>
    <w:p>
      <w:r>
        <w:rPr>
          <w:b/>
        </w:rPr>
        <w:t>E. 8</w:t>
      </w:r>
    </w:p>
    <w:p>
      <w:r>
        <w:t>Cela étant, le recours doit être admis et le jugement réformé au chiffre I de son dispositif en ce sens que l'action de la demanderesse en modification de jugement de divorce est admise, au chiffre II en ce sens que le jugement de divorce rendu le 19 novembre 2007 par le Président du Tribunal civil de l'arrondissement de La Broye et du Nord vaudois est modifié au chiffre II/I de son dispositif en ce sens que l'autorité parentale sur les enfants C.V.________ et D.V.________, nés respectivement le […] 2001 et le […] 2003, est attribuée exclusivement à A.V.________, et au chiffre III en ce sens que les frais de justice sont arrêtés à 1'237 fr. 60 pour A.V.________ et à 1'150 fr. pour B.V.________.</w:t>
      </w:r>
    </w:p>
    <w:p>
      <w:r>
        <w:rPr>
          <w:b/>
        </w:rPr>
        <w:t>E. 9</w:t>
      </w:r>
    </w:p>
    <w:p>
      <w:r>
        <w:t>Obtenant gain de cause, A.V.________ a droit à des dépens de première instance, qu'il convient d'arrêter à 4'000 fr., soit 2'762 fr. 40 à titre de participation aux honoraires et débours d'avocat et 1'237 fr. 60 en remboursement des frais de justice (art. 91 et 92 CPC; art. 2 et 3 TAv [Tarif du 17 juin 1986 des honoraires d'avocat dus à titre de dépens; RSV 177.11.3]). Le chiffre IV du dispositif du jugement doit ainsi être réformé en ce sens.</w:t>
      </w:r>
    </w:p>
    <w:p>
      <w:r>
        <w:rPr>
          <w:b/>
        </w:rPr>
        <w:t>E. 10</w:t>
      </w:r>
    </w:p>
    <w:p>
      <w:r>
        <w:t>Les frais de deuxième instance de la recourante sont arrêtés à 300 francs (art. 233 al. 1 TFJC [Tarif du 4 décembre 1984 des frais judiciaires en matière civile; RSV 270.11.5]).</w:t>
      </w:r>
    </w:p>
    <w:p>
      <w:r>
        <w:t>- 19 - Vu le sort du recours, il convient d'allouer à A.V.________, qui obtient gain de cause, des dépens de deuxième instance, fixés à 1'300 fr. (art. 91 et 92 CPC; art. 2 al. 1 ch. 33 et art. 3 TAv). Par ces motifs, la Chambre des recours du Tribunal cantonal, statuant à huis clos, prononce : I. Le recours est admis. II. Le jugement est réformé comme il suit : I.- admet l'action de la demanderesse; II.- dit que le jugement de divorce rendu le 19 novembre 2007 par le Président du Tribunal civil de l'arrondissement de La Broye et du Nord vaudois est modifié au chiffre II/I de son dispositif en ce sens que l'autorité parentale sur les enfants C.V.________ et D.V.________, nés respectivement le […] 2001 et le […] 2003, est attribuée exclusivement à A.V.________; III.- arrête les frais de justice à 1'237 fr. 60 (mille deux cent trente-sept francs et soixante centimes) pour A.V.________ et à 1'150 francs (mille cent cinquante francs) pour B.V.________; IV.- B.V.________ doit verser à A.V.________ la somme de 4'000 fr. (quatre mille francs) à titre de dépens de première instance. III. Les frais de deuxième instance de la recourante sont arrêtés à 300 francs (trois cents francs).</w:t>
      </w:r>
    </w:p>
    <w:p>
      <w:r>
        <w:t>- 20 - IV. L'intimé B.V.________ doit verser à la recourante A.V.________ la somme de 1'300 fr. (mille trois cents francs) à titre de dépens de deuxième instance. Le président : Le greffier : Du 8 mai 2009 Le dispositif de l'arrêt qui précède est communiqué par écrit aux intéressés. Le greffier : Du L'arrêt qui précède, dont la rédaction a été approuvée à huis clos, est notifié en expédition complète, par l'envoi de photocopies, à : - Me Paul-Arthur Treyvaud (pour A.V.________), - Me Anne-Louise Gillièron (pour B.V.________).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- 21 -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