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TE07.032594 vom 18. August 2009</w:t>
      </w:r>
    </w:p>
    <w:p>
      <w:r>
        <w:t>VD Tribunal cantonal, 2009-08-18, FR</w:t>
      </w:r>
    </w:p>
    <w:p>
      <w:r>
        <w:rPr>
          <w:b/>
        </w:rPr>
        <w:t xml:space="preserve">Quelle: </w:t>
      </w:r>
      <w:r>
        <w:t>https://mcp.opencaselaw.ch/entscheid/vd_gerichte_TE07.032594</w:t>
      </w:r>
    </w:p>
    <w:p>
      <w:r>
        <w:t>FR: VD_GERICHTE TE07.032594 du 18 août 2009</w:t>
      </w:r>
    </w:p>
    <w:p>
      <w:r>
        <w:t>IT: VD_GERICHTE TE07.032594 del 18 agosto 2009</w:t>
      </w:r>
    </w:p>
    <w:p>
      <w:pPr>
        <w:pStyle w:val="Heading2"/>
      </w:pPr>
      <w:r>
        <w:t>Erwägungen</w:t>
      </w:r>
    </w:p>
    <w:p>
      <w:r>
        <w:rPr>
          <w:b/>
        </w:rPr>
        <w:t>E. 3</w:t>
      </w:r>
    </w:p>
    <w:p>
      <w:r>
        <w:t>Par demande du 29 octobre 2007, reçu le 31 octobre 2007, A.J.________, a conclu, en substance, à ce qu'il soit prononcé que le jugement de divorce rendu le 26 juin 2000 par le président du tribunal civil du district de Lausanne soit modifié en son chiffre II en ce sens que l'autorité parentale sur l'enfant E.J.________, né le [...] 1992, est attribuée à son père (I) et que la défenderesse contribuera à l'entretien de ses trois enfants par le paiement régulier d'une pension, payable d'avance le 1er de chaque mois sur le compte de leur père, d'un montant minimal de frs. 500.- par enfant ou à dire de justice. A la requête de la défenderesse, une audience de conciliation s'est tenue le 10 avril 2008. Le demandeur personnellement, la défenderesse personnellement, assistée de son conseil, et Madame G.________, assistante sociale auprès du Service de protection de la jeunesse ont été entendus. La conciliation entre les parties a abouti partiellement comme suit: " I. Les chiffres II/II et II/III du jugement de divorce du 26 juin 2000 sont modifiés comme suit: - II nouveau : l'autorité parentale et la garde sur l'enfant E.J.________, né le [...] 1992, sont attribuées à son père A.J.________ ; - III nouveau : à défaut de meilleure entente B.J.________ pourra avoir son fils auprès d'elle un week-end sur deux du vendredi à 19 h 30 au dimanche à 19 h 30, ainsi que durant la moitié des vacances scolaires et des jours fériés. II. Parties conviennent de maintenir le mandat de curatelle éducative en faveur de l'enfant E.J.________. "</w:t>
      </w:r>
    </w:p>
    <w:p>
      <w:r>
        <w:t>- 5 - Les parties se sont entendues pour mettre en vigueur de manière provisoire la convention qui précède selon planning à définir par le Service de protection de la jeunesse. Cette convention a été ratifiée sur le siège pour valoir ordonnance de mesures provisionnelles et un délai a été imparti aux parties pour produire des pièces relatives à leurs charges et revenus. La défenderesse a indiqué par pli du 26 mai 2008 qu'elle concluait au rejet de la conclusion prise par le demandeur tendant à l'octroi d'une pension pour l'enfant E.J.________ et ce au bénéfice de l'offre qu'elle faisait de payer frs. 100.- pour l'entretien de son fils. Les parties ont été entendues à l'audience préliminaire du 10 juillet 2008. La conciliation bien que tentée n'a pas abouti. Le demandeur a renoncé à la preuve par témoin et par expertise. Le même jour, le président a rendu l'ordonnance sur preuves. Par lettre du 18 janvier 2009, le demandeur a requis que le prélèvement des contributions d'entretien soit ordonné directement auprès de l'employeur de la défenderesse. Il a également demandé que les pensions de frs. 200.- par mois mises à la charge de la défenderesse soient renouvelées et le versement rétroactif de la pension alimentaire due pour E.J.________. A l'audience de jugement du 27 janvier 2009, le demandeur personnellement et la défenderesse personnellement, assistée de son conseil, ont comparu. Les parties ont été entendues dans les explications. Il ressort encore de l'instruction que la défenderesse a repris contact avec son fils E.J.________ en juillet 2008 et depuis, elle partage une relation de qualité avec ses trois fils.</w:t>
      </w:r>
    </w:p>
    <w:p>
      <w:r>
        <w:rPr>
          <w:b/>
        </w:rPr>
        <w:t>E. 4</w:t>
      </w:r>
    </w:p>
    <w:p>
      <w:r>
        <w:t>Le recourant fait grief aux premiers juges de n'avoir pas tenu compte, dans le calcul de la contribution en faveur de l'enfant E.J.________, de ses charges incompressibles générées par le fait que les enfants C.J.________ et D.J.________ vivent chez lui. Selon la jurisprudence, dans le domaine du droit de la famille, le minimum vital selon le droit des poursuites du débiteur de la contribution d'entretien doit dans tous les cas être préservé (ATF 135 III 66 et références; ATF 133 III 57 c. 3; ATF 127 III 68 c. 2c, ATF 126 III 353, c. 1a/aa JT 2002 I 262). Pour fixer la pension, le juge est fondé en principe à tenir compte du minimum vital du droit des poursuites, élargi de 20 % et des charges incompressibles (loyer, assurance-maladie, etc.). Le Tribunal fédéral a précisé que la majoration forfaitaire de 20 % ne devait être appliquée qu’à la base mensuelle (Grundbetrag) du minimum vital (TF 5C.107/2005 du 13 avril 2006 c. 4.3.1; TF 5C.237/2006 10 janvier 2007 c. 2.4.1). Le juge doit toutefois renoncer à augmenter d’un pourcentage aussi élevé le minimum vital élargi du débirentier lorsque cette majoration a pour effet de ne pas couvrir le minimum vital de l’époux crédirentier. Cela étant, en présence d’une situation financière précaire, le minimum vital élargi du débirentier doit néanmoins être préservé; à tout le moins, celui-ci doit-il disposer d’une réserve modique lui permettant de faire face à un imprévu (Revue suisse du droit de la tutelle [RDT] 2003, p. 124, JT 2003 I 193, c. 4.1). En cas de capacité financière réduite, il n'y a pas lieu de prendre en compte la charge d'impôt du débiteur de la rente (ATF 126 III 353 précité).</w:t>
      </w:r>
    </w:p>
    <w:p>
      <w:r>
        <w:t>- 11 - En l'espèce, compte tenu des nouveaux montants de base déterminants adoptés avec effet au 1er juillet 2009 pour le calcul de minimum vital selon l'art. 93 LP (www.vd.ch/fr/themes/economie/poursuites-et-faillites/minimum-vital/), le minimum vital de l'intimée se compose d'un montant de base de 1'350 fr. pour un débiteur monoparental, (l'intimée accueille régulièrement ses enfants à son domicile et l'engagement de ces frais de visite s'avère important pour restaurer des relations familiales nécessaires à l'équilibre de l'enfant E.J.________), 720 fr. de loyer, 119 francs 40 de cotisations d'assurance-maladie, 60 fr. de frais de transport, 150 fr. de frais de repas pris hors du domicile, 120 fr. de remboursement de l'assistance judiciaire, soit, au total, 2'519 fr. 40. La majoration de 20 % du montant de base, soit 270 fr. (1'350 x 20 %) n'entre en ligne de compte que si le minimum vital du recourant n'est pas couvert. Or, même en prenant en compte les coûts supplémentaires engendrés par les deux enfants majeurs, ce minimum vital atteindrait 10'016 fr. 65 (1'700 fr. de montant de base pour un couple, 400 fr. de montant de base pour un enfant de moins de dix ans, 1'800 fr. de montant de base pour trois enfants de plus de dix ans, 2'500 fr. de loyer, 827 fr. 60 de cotisations d'assurance-maladie [parents et enfants mineur], 500 fr de cotisation d'assurances maladie pour enfants majeurs, 1'035 fr. 30 de frais de transport, 133 fr. 30 de frais de transport pour les enfants majeurs, 195 fr. 75 de frais de repas hors du domicile, 800 fr. de frais d'écolage de D.J.________ et 125 fr. d'assistance judiciaire), montant couvert par le salaire de 10'968 fr. du recourant et par le salaire réduit de 700 fr. en raison du chômage partiel de celui-ci. La charge d'impôt du recourant n'entre pas en ligne de compte (cf. ATF 126 III 89), pas plus que les frais de formation de l'épouse du recourant. Il convient dès lors, pour fixer la contribution d'entretien en cause d'ajouter le montant de 270 fr. au minimum vital de l'intimée, ce qui donne un montant déterminant de 2'789 fr. 40 et un disponible de 271 fr. 45 (3'060 fr.85 – 2789 fr. 40). Au vu de ce disponible et compte tenu de l'écart de</w:t>
      </w:r>
    </w:p>
    <w:p>
      <w:r>
        <w:t>- 12 - revenus entre les parties, il convient de considérer que le montant de 250 fr. alloué par les premiers juges est adéquat. Le recours doit être rejeté sur ce point.</w:t>
      </w:r>
    </w:p>
    <w:p>
      <w:r>
        <w:rPr>
          <w:b/>
        </w:rPr>
        <w:t>E. 5</w:t>
      </w:r>
    </w:p>
    <w:p>
      <w:r>
        <w:t>Le recourant soutient que la contribution en cause doit être allouée dès le 1er mai 2008, date à laquelle l'enfant E.J.________ est venu vivre chez lui. Selon la jurisprudence, la modification d'une contribution doit prendre effet au plus tôt à la date de l'ouverture d'action, y compris pour la modification de contributions d'entretien en faveur de l'enfant pour laquelle le débirentier ne peut se prévaloir de l'art. 279 CC (ATF 127 III 503, JT 2002 I 441). Lorsque le motif pour lequel la modification est demandée se trouve déjà réalisé à ce moment-là, il ne se justifie en principe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Werro, op. cit., n° 695, p. 151). Ces principes s'appliquent mutatis mutandis en cas de transfert de la garde sur un enfant. En l'espèce, dès la fin du mois d'avril 2008, l'intimée n'a plus eu à supporter l'entretien en nature induit par la présence de l'enfant E.J.________ dans son foyer, tout en devant s'attendre à devoir contribuer désormais à son entretien par le versement d'une contribution financière. En effet, elle connaissait les conclusions prises à son encontre dans le procès en modification de jugement de divorce alors pendant. En outre, les parties ont expressément prévu par convention un transfert immédiat d'autorité parentale en instance de mesures provisionnelles et au fond, sans régler simultanément la question de la contribution d'entretien, mais en admettant implicitement que l'intimée n'avait plus le droit de percevoir</w:t>
      </w:r>
    </w:p>
    <w:p>
      <w:r>
        <w:t>- 13 - la contribution d'entretien pour l'enfant E.J.________ fixée par le jugement de divorce dès lors qu'elle n'en détenait plus la garde. Enfin, compte tenu du montant de la contribution en cause et de la période qu'elle concerne, son exécution ne s'avère pas insurmontable pour l'intimée. Le point de départ de la contribution litigieuse doit en conséquence être fixé au 1er mai 2008 et le recours doit être admis sur ce point.</w:t>
      </w:r>
    </w:p>
    <w:p>
      <w:r>
        <w:rPr>
          <w:b/>
        </w:rPr>
        <w:t>E. 6</w:t>
      </w:r>
    </w:p>
    <w:p>
      <w:r>
        <w:t>Le recourant requiert que la contribution litigieuse soit allouée au-delà de la majorité de l'enfant E.J.________. Aux termes de l'art. 277 al. 2 CC, si, à sa majorité, l'enfant n'a pas encore de formation appropriée, les père et mère doivent, dans la mesure où les circonstances le permettent de l'exiger d'eux, subvenir à son entretien jusqu'à ce qu'il ait acquis une telle formation, pour autant qu'elle soit achevée dans des délais normaux. Dans le cadre d'une procédure de divorce, l'art. 133 al. 1 deuxième phrase CC ne précise pas à quelles conditions matérielles une contribution d'entretien peut être fixée pour une période allant au-delà de l'accès de l'enfant à la majorité. Sous l'égide de l'ancien art. 156 CC, la jurisprudence a admis qu'une contribution d'entretien en faveur de l'enfant soit accordée au-delà de la majorité lorsque l'enfant qui a droit à une rente d'entretien se trouve proche de sa majorité au moment du jugement de divorce, se trouve déjà en formation professionnelle et que la durée de cette formation – qui se poursuivra manifestement au-delà du procès en divorce – peut être déterminée. Tel est le cas, par exemple, lorsque l'enfant est dans sa dernière année avant le baccalauréat ou avant la fin de son apprentissage. Lorsque les circonstances sont à ce point claires, il serait peu compréhensible – et d'ailleurs contraire aux intérêts de l'enfant et du débirentier – que l'enfant soit contraint, le cas échéant déjà dans le procès en divorce de ses parents ou peut de temps après, de faire valoir dans une procédure judiciaire ses prétentions d'entretien</w:t>
      </w:r>
    </w:p>
    <w:p>
      <w:r>
        <w:t>- 14 - contre le débirentier pour une période relativement courte (ATF 112 II 199 c. 2). Cette approche s'applique également dans le cadre du nouveau droit (Breitschmid, Basler Kommentar, 3ème éd., 2006, n. 14 ad art. 133 CC, pp 859-860). En l'espèce, le contrat d'apprentissage de l'enfant E.J.________ a été résilié et le recourant n'établit pas que l'enfant a recommencé sa première année d'apprentissage. Au vu de ces éléments, on ne saurait considérer que les conditions d'application de l'art. 277 al. 2 CC sont réalisées, pas plus que celles posées par la jurisprudence à l'allocation, dans le cadre d'une procédure de modification de jugement divorce, d'une contribution d'entretien au-delà de la majorité de l'enfant. Aussi convient-il de considérer qu'il appartiendra, le cas échéant à l'enfant lui-même d'agir contre sa mère pour obtenir une contribution après sa majorité. Le recours doit être rejeté sur ce point.</w:t>
      </w:r>
    </w:p>
    <w:p>
      <w:r>
        <w:rPr>
          <w:b/>
        </w:rPr>
        <w:t>E. 7</w:t>
      </w:r>
    </w:p>
    <w:p>
      <w:r>
        <w:t>Le recourant requiert que l'intimée lui verse la contribution sur son compte postal et non de la main à la main comme le prescrit le jugement attaqué. Le chiffre IV du dispositif de ce jugement prévoit le paiement par l'intimée de la contribution litigieuse "en mains" du recourant. Selon le Petit Robert (éd. 1989, p. 1131), cette expression signifie mettre dans la possession, sous la surveillance d'une personne, et se distingue de l'expression "de la main à la main" qui signifie "sans intermédiaire ou sans formalité". Le jugement attaqué n'impose donc pas un mode de paiement particulier de la contribution en cause et n'exclut donc pas le versement sur le compte postal du recourant. Le recours est ainsi sans objet sur ce point.</w:t>
      </w:r>
    </w:p>
    <w:p>
      <w:r>
        <w:t>- 15 -</w:t>
      </w:r>
    </w:p>
    <w:p>
      <w:r>
        <w:rPr>
          <w:b/>
        </w:rPr>
        <w:t>E. 8</w:t>
      </w:r>
    </w:p>
    <w:p>
      <w:r>
        <w:t>En conclusion, le recours doit être admis partiellement et le jugement réformé en ce sens que la contribution en cause est due dès le 1er mai 2008. Les frais de deuxième instance du recourant sont arrêtés à 300 fr. (art. 233 TFJC; tarif du 4 décembre 1984 des frais judiciaires en matière civile; RSV 270.11.5). Obtenant partiellement gain de cause, le recourant a droit à des dépens de deuxième instance réduits des deux tiers, fixés à 100 fr. (art. 91 et 92 CPC). Par ces motifs, la Chambre des recours du Tribunal cantonal, statuant à huis clos, prononce : I. Le recours est partiellement admis. II. Le jugement du 29 avril 2009 est réformé comme il suit au chiffre IV de son dispositif : IV.- modifie comme suit le chiffre II/IV du jugement de divorce rendu le 26 juin 2000 par le Président du Tribunal civil du district de Lausanne : "IV nouveau : B.J.________, contribuera à l'entretien de son fils E.J.________, né le [...] 1992, par le régulier versement en mains du père, A.J.________, d'avance le 1er de chaque mois, dès le 1er mai 2008, d'une pension d'un montant de 250 fr. (deux cent cinquante francs), allocations familiales non comprise, jusqu'à la majorité de l'enfant."</w:t>
      </w:r>
    </w:p>
    <w:p>
      <w:r>
        <w:t>- 16 - Le jugement du 29 avril 2009 est confirmé pour le surplus. III. Les frais de deuxième instance du recourant sont fixés à 300 fr. (trois cents francs). IV. L'intimée B.J.________, doit verser au recourant A.J.________ la somme de 100 fr. (cent francs), à titre de dépens de deuxième instance. V. L'arrêt motivé est exécutoire. Le président : Le greffier : Du 18 août 2009 Le dispositif de l'arrêt qui précède est communiqué par écrit aux intéressés. Le greffier : Du L'arrêt qui précède, dont la rédaction a été approuvée à huis clos, est notifié en expédition complète, par l'envoi de photocopies, à : - M. A.J.________, - Me Violaine Jaccottet Sherif (pour B.J.________).</w:t>
      </w:r>
    </w:p>
    <w:p>
      <w:r>
        <w:t>- 17 - La Chambre des recours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