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TD24.023638 vom 20. Oktober 2025</w:t>
      </w:r>
    </w:p>
    <w:p>
      <w:r>
        <w:t>VD Tribunal cantonal, 2025-10-20, FR</w:t>
      </w:r>
    </w:p>
    <w:p>
      <w:r>
        <w:rPr>
          <w:b/>
        </w:rPr>
        <w:t xml:space="preserve">Quelle: </w:t>
      </w:r>
      <w:r>
        <w:t>https://mcp.opencaselaw.ch/entscheid/vd_gerichte_TD24.023638</w:t>
      </w:r>
    </w:p>
    <w:p>
      <w:r>
        <w:t>FR: VD_GERICHTE TD24.023638 du 20 octobre 2025</w:t>
      </w:r>
    </w:p>
    <w:p>
      <w:r>
        <w:t>IT: VD_GERICHTE TD24.023638 del 20 ottobre 2025</w:t>
      </w:r>
    </w:p>
    <w:p>
      <w:pPr>
        <w:pStyle w:val="Heading2"/>
      </w:pPr>
      <w:r>
        <w:t>Erwägungen</w:t>
      </w:r>
    </w:p>
    <w:p>
      <w:r>
        <w:rPr>
          <w:b/>
        </w:rPr>
        <w:t>E. 1</w:t>
      </w:r>
    </w:p>
    <w:p>
      <w:r>
        <w:t>Dans le cadre de la procédure de mesures protectrices de l'union conjugale, puis de la procédure unilatérale en divorce, qui opposent les parties, celles-ci ont déposé diverses requêtes des mesures superprovisionnelles et/ou provisionnelles. La Présidente du Tribunal civil de l’arrondissement de La Côte (ci-après : la présidente) a rendu plusieurs ordonnances de mesures superprovisionnelles au cours de la procédure de première instance, terminée de mesures protectrices de l'union conjugale et pendante de divorce. Cependant, seuls les faits procéduraux utiles à la résolution de la cause ont été reproduits dans le présent arrêt.</w:t>
      </w:r>
    </w:p>
    <w:p>
      <w:r>
        <w:rPr>
          <w:b/>
        </w:rPr>
        <w:t>E. 1.1</w:t>
      </w:r>
    </w:p>
    <w:p>
      <w:r>
        <w:t>L’appel est recevable contre les ordonnances de mesures provisionnelles notamment dans les causes non patrimoniales (art. 308 al. 1 let. b et al. 2 CPC). Les mesures provisionnelles rendues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t>- 9 - En l’espèce, formé en temps utile par une partie qui a un intérêt digne de protection (art. 59 al. 2 let. a CPC) contre une décision finale rendue en procédure sommaire dans un litige non patrimonial (cf. ATF 102 II 161 consid. 1, JdT 1978 I 237 ; TF 5A_603/2009 du 26 octobre 2009 consid. 2), la voie de l’appel est ouverte et l’appel est recevable.</w:t>
      </w:r>
    </w:p>
    <w:p>
      <w:r>
        <w:rPr>
          <w:b/>
        </w:rPr>
        <w:t>E. 1.2</w:t>
      </w:r>
    </w:p>
    <w:p>
      <w:r>
        <w:t>Si la procédure sommaire (art. 252 ss CPC) s'applique aux mesures provisionnelles de divorce (art. 248 let. d et 276 CPC), le tribunal établit toutefois les faits d'office (maxime inquisitoire ; art. 272 et 296 al. 1 CPC) et n’est pas lié par les conclusions des parties s’agissant de questions relatives à un enfant (maxime d'office ; art. 296 al. 3 CPC).</w:t>
      </w:r>
    </w:p>
    <w:p>
      <w:r>
        <w:rPr>
          <w:b/>
        </w:rPr>
        <w:t>E. 1.3</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1.4</w:t>
      </w:r>
    </w:p>
    <w:p>
      <w:r>
        <w:t>En vertu de l'art. 317 al. 1bis CPC, entré en vigueur le 1er janvier 2025 et directement applicable aux procédures en cours (art. 407f CPC), lorsque l'instance d'appel doit, comme en l’espèce, examiner les faits d'office, elle admet les faits et moyens de preuve nouveaux jusqu'aux délibérations. Il en résulte que l’ensemble des faits et moyens de preuve nouveaux invoqués par l’appelante en appel sont recevables. Il en a été tenu compte dans la mesure de leur pertinence. 2. L’appelante conteste la mesure d’ISMV ordonnée par la présidente, sur proposition de la DGEJ dans le cadre du bilan annuel socio- éducatif établi par cette dernière le 17 avril 2025.</w:t>
      </w:r>
    </w:p>
    <w:p>
      <w:r>
        <w:t>- 10 -</w:t>
      </w:r>
    </w:p>
    <w:p>
      <w:r>
        <w:rPr>
          <w:b/>
        </w:rPr>
        <w:t>E. 2</w:t>
      </w:r>
    </w:p>
    <w:p>
      <w:r>
        <w:t>a) Le 27 mai 2022, B.V.________ a ouvert une procédure de mesures protectrices de l’union conjugale à l’encontre d’A.V.________. b) Lors de l’audience de mesures protectrices de l’union conjugale du 19 juillet 2022, les parties ont signé une convention, consignée au procès-verbal et ratifiée séance tenante par la présidente pour valoir prononcé de mesures protectrices de l’union conjugale. c) Le 21 juillet 2022, Me T.________ a été désignée comme curatrice au sens de l’art. 299 al. 2 let. a CPC (Code de procédure civile du 19 décembre 2008 ; RS 272) de l’enfant F.________ (ci-après : la curatrice de représentation).</w:t>
      </w:r>
    </w:p>
    <w:p>
      <w:r>
        <w:t>- 3 - d) Par ordonnance de mesures protectrices de l’union conjugale du 13 avril 2023, la présidente a notamment confié la garde de l’enfant F.________ à sa mère (I), a fixé les modalités d’exercice du droit de visite du père (II), a confié à l’Unité évaluation et missions spécifiques (ci- après : l’UEMS) de la Direction générale de l’enfance et de la jeunesse (ci- après : la DGEJ) la mission d’effectuer une enquête sociale sur les conditions de vie de l’enfant F.________ chez chacun de ses parents, de faire toutes propositions sur la manière dont l’autorité parentale, la garde, respectivement le droit de visite, devraient être exercés par les parents dans l’intérêt de l’enfant et de déterminer l’opportunité d’ordonner une mesure de protection de l’enfant (III), a ordonné en faveur de l’enfant F.________ une curatelle d’assistance éducative et de surveillance des relations personnelles au sens de l’art. 308 al. 1 et 2 CC (Code civil suisse du 10 décembre 1907 ; RS 210) et a confié cette curatelle à un assistant social à désigner par l’Office régional de protection des mineurs (ORPM) de l’Ouest vaudois (IV). Cette ordonnance a été confirmée par la Juge unique de la Cour de céans par arrêt du 24 août 2023 (Juge unique CACI 24 août 2023/341). Par arrêt du 1er décembre 2023, la IIe Cour de droit civil du Tribunal fédéral a déclaré irrecevable le recours déposé par A.V.________ à l’encontre de l’arrêt cantonal susmentionné (TF 5A_737/2023 du 1er décembre 2023). e) Dans son rapport d’évaluation du 20 novembre 2023 concernant la situation de l’enfant F.________, l’UEMS a notamment conclu au maintien de l’autorité parentale conjointe, de la garde de fait de l’enfant à sa mère et de la curatelle d’assistance éducative et de surveillance des relations personnelles au sens de l’art. 308 al. 1 et 2 CC, ainsi qu’à l’élargissement immédiat du droit de visite du père sur son fils. f) Par prononcé de mesures protectrices de l'union conjugale du 26 juillet 2024, la présidente a notamment fixé le droit de visite du père sur l’enfant F.________ et maintenu la curatelle d’assistance éducative</w:t>
      </w:r>
    </w:p>
    <w:p>
      <w:r>
        <w:t>- 4 - et de surveillance des relations personnelles au sens de l’art. 308 al. 1 et 2 CC en faveur de l’enfant F.________.</w:t>
      </w:r>
    </w:p>
    <w:p>
      <w:r>
        <w:rPr>
          <w:b/>
        </w:rPr>
        <w:t>E. 2.1</w:t>
      </w:r>
    </w:p>
    <w:p>
      <w:r>
        <w:t>Elle se plaint tout d’abord d’une violation de son droit d’être entendue pour défaut de motivation de l’ordonnance entreprise et du fait qu’elle n’aurait pas pu discuter de l’opportunité de la mesure lors d’une audience devant la présidente.</w:t>
      </w:r>
    </w:p>
    <w:p>
      <w:r>
        <w:rPr>
          <w:b/>
        </w:rPr>
        <w:t>E. 2.1.1</w:t>
      </w:r>
    </w:p>
    <w:p>
      <w:r>
        <w:t>Le droit d'être entendu, garanti par l'art. 29 al. 2 Cst. (Constitution fédérale de la Confédération suisse du 18 avril 1999 ; RS 101),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5A_989/2023 du 3 mars 2025 consid. 4.4.4).</w:t>
      </w:r>
    </w:p>
    <w:p>
      <w:r>
        <w:rPr>
          <w:b/>
        </w:rPr>
        <w:t>E. 2.1.2</w:t>
      </w:r>
    </w:p>
    <w:p>
      <w:r>
        <w:t>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Aux termes de l'art. 265 CPC,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w:t>
      </w:r>
    </w:p>
    <w:p>
      <w:r>
        <w:t>- 11 -</w:t>
      </w:r>
    </w:p>
    <w:p>
      <w:r>
        <w:rPr>
          <w:b/>
        </w:rPr>
        <w:t>E. 2.2</w:t>
      </w:r>
    </w:p>
    <w:p>
      <w:r>
        <w:t>En l’occurrence, il ne peut être retenu que l’appelante ne connaît pas la motivation de la décision de mise en place de l’ISMV. Tout d’abord, la mesure d’ISMV a été proposée par la DGEJ, motifs à l’appui exposés dans le bilan du 17 avril 2025. De plus, la présidente a détaillé lesdits motifs dans le cadre de son courrier du 27 août 2025, préalablement au prononcé de l’ordonnance attaquée et a précisé les bases légales applicables à ladite mesure. Elle a renvoyé l’appelante auprès de la DGEJ pour obtenir des renseignements s’agissant du financement de l’ISMV. La présidente a partiellement repris ces éléments dans sa décision du 27 août 2025. A cela s’ajoute qu’une simple consultation du site internet de la DGEJ aurait permis à l’appelante de trouver la documentation qui explicite également en quoi consiste une ISMV et ses buts ; il en va de même pour trouver des explications sur les différentes phases de cette mesure sur le site de l’association Apemo.ch (cf. infra, consid. 3.1.2 et les références citées). Enfin, on peut constater, à la lecture de l’acte d’appel, que l’appelante a reçu suffisamment d’informations pour pouvoir attaquer valablement la décision entreprise devant la Cour de céans. Par ailleurs, il ne saurait être question d’un droit à une audience. Le fait que la curatrice d’assistance éducative et de surveillance des relations personnelles ait communiqué à l’appelante qu’elle pensait qu’une audience serait tenue par la présidente pour discuter du bilan n’y change rien. L’appelante a eu l’occasion de se déterminer sur le bilan par écrit et, ayant bénéficié de plusieurs prolongations de délai, a même disposé de près de quatre mois pour ce faire. Qu’elle ne l’ait pas fait dans le délai imparti, puis prolongé, lui est imputable. Elle ne remet d’ailleurs pas ce fait en question dans le cadre de son appel. L’appelante a ainsi bénéficié de l’occasion de se déterminer par écrit et a reçu des explications circonstanciées sur la décision prise. En sus, une audience a été tenue (et suspendue) le 21 mai 2025, lors de laquelle les divers sujets visant les parties, dont la question du droit de visite du père, ont été abordés.</w:t>
      </w:r>
    </w:p>
    <w:p>
      <w:r>
        <w:t>- 12 - Partant, le droit d’être entendue de l’appelante n’a pas été violé et son grief doit être rejeté.</w:t>
      </w:r>
    </w:p>
    <w:p>
      <w:r>
        <w:rPr>
          <w:b/>
        </w:rPr>
        <w:t>E. 3</w:t>
      </w:r>
    </w:p>
    <w:p>
      <w:r>
        <w:t>Sur le fond, l’appelante conteste l’opportunité, la proportionnalité et le coût de la mesure d’ISMV.</w:t>
      </w:r>
    </w:p>
    <w:p>
      <w:r>
        <w:rPr>
          <w:b/>
        </w:rPr>
        <w:t>E. 3.1.1</w:t>
      </w:r>
    </w:p>
    <w:p>
      <w:r>
        <w:t>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Pichonnaz/Foëx/Fountoulakis [éd.], Commentaire romand, Code civil I, Art. 1-456 CC, 2e éd., Bâle 2024,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t>- 13 -</w:t>
      </w:r>
    </w:p>
    <w:p>
      <w:r>
        <w:rPr>
          <w:b/>
        </w:rPr>
        <w:t>E. 3.1.2</w:t>
      </w:r>
    </w:p>
    <w:p>
      <w:r>
        <w:t>Dans le cadre de sa politique socio-éducative, la DGEJ souhaite poursuivre et intensifier l’accent mis depuis plusieurs années déjà sur l’action ambulatoire de protection des mineurs. L’objectif est ainsi de favoriser l’action éducative et sociale en milieu ouvert et de manière générale les externats (art. 25a LProMin [loi du 4 mai 2004 sur la protection des mineurs ; BLV 850.41]) tout en garantissant une égalité pour tous les bénéficiaires sur le canton. Les prestations ambulatoires proposent des interventions individuelles, à domicile, et collectives, dans les locaux des prestataires. Dans les deux cas, un travail est mené conjointement avec les parents et vise le maintien à domicile ou une transition constructive ou vers un accueil résidentiel pour le mineur concerné. Parmi les prestations ambulatoires proposées figure l’ISMV (voir « Prestations de prise en charge des enfants en besoin de protection [hébergement et ambulatoire], Politique socio-éducative cantonale en matière de protection des mineur-e-s [2024-2028] » édité par la DGEJ, n. 2, p. 11 et son annexe 1 « Liste des prestations socio-éducatives contractualisées », version janvier 2024, n. 1 et 1.2, p. 4 ; https://www.vd.ch/fileadmin/user_upload/organisation/dfj/spj/fichiers_pdf/D ocument_PSE_2024-2028_vweb.pdf, consulté le 16 octobre 2025). L’ISMV est une prestation pour la protection de mineurs de 0 à 18 ans en situations de crise qui nécessitent une intervention rapide et urgente. Cette prestation intervient pour les situations dans lesquelles une indication au placement n'est pas encore clairement établie, trop précoce, voire contre-indiquée. Elle est délivrée au domicile du mineur et a pour but premier d'en favoriser le maintien. L'intervention est ciblée sur la crise et ne se développe pas sur le long terme. Les intervenants peuvent également contribuer à l'évaluation du danger encouru par l'enfant à son domicile en fournissant des données supplémentaires aux services utilisateurs pour leur prise de décision (ibidem, qui précise que la Fondation la Rambarde offre ce type de prestation). L’ISMV se déroule en deux phases. La première est une phase exploratoire, consistant entre quatre et cinq entretiens, qui permet à l’assistant social d’appréhender le contexte de vie de l’enfant et les</w:t>
      </w:r>
    </w:p>
    <w:p>
      <w:r>
        <w:t>- 14 - dangers éventuels encourus par ce dernier, de faire connaissance avec la famille et son histoire, de comprendre son contexte socio-économique ; ces différents éléments permettent aux éducateurs, en collaboration avec la famille, de cibler les ressources et limites de celle-ci afin d’en dégager des propositions d’objectifs de travail lors d’une rencontre en réseau AS[assistant social]-Famille-ISMV. La deuxième est la phase d’accompagnement qui consiste entre cinq et six entretiens et qui permet d’accompagner la famille dans la réalisation des objectifs établis au bilan intermédiaire. La fin de l’ISMV est notifiée par un réseau (cf. site internet de l’Apemo.ch, association qui regroupe des pratiques éducatives en milieu ouvert et au sein même des familles notamment en Suisse romande, https://www.apemo.ch/services/services-2-13/, consulté le 16 octobre 2025).</w:t>
      </w:r>
    </w:p>
    <w:p>
      <w:r>
        <w:rPr>
          <w:b/>
        </w:rPr>
        <w:t>E. 3.1.3</w:t>
      </w:r>
    </w:p>
    <w:p>
      <w:r>
        <w:t>A teneur de l’art. 18 LProMin, lorsque le mineur est au bénéfice d’une action socio-éducative dans son milieu familial, le service peut, en cas de nécessité, accorder un soutien financier aux parents si la santé, la sécurité ou l’éducation du mineur l’exigent (al. 1). Si l’action socio- éducative mentionnée à l’alinéa 1 est fournie par des organismes ou institutions privés subventionnés par le service, ce soutien financier est accordé sous la forme d’une participation du service au financement de la prestation socio-éducative (al. 2). En cas de placement du mineur hors de son milieu familial, ce soutien financier est accordé sous la forme d’une participation du service aux frais de placement. Dans ce cas, le service peut garantir au milieu d’accueil le paiement de ces frais (al. 3). Le règlement précise les modalités des soutiens financiers accordés et du contrôle de leur bien-fondé (al. 4). Selon l’art. 19 RLProMin (règlement d’application de la LProMin du 5 avril 2017 ; BLV 850.41.1), le soutien financier prévu à l’art. 18 al. 1 LProMin peut être accordé de manière ponctuelle ou périodique (al. 1) et peut prendre différentes formes de participation au financement (al. 2).</w:t>
      </w:r>
    </w:p>
    <w:p>
      <w:r>
        <w:rPr>
          <w:b/>
        </w:rPr>
        <w:t>E. 3.2</w:t>
      </w:r>
    </w:p>
    <w:p>
      <w:r>
        <w:t>- 15 -</w:t>
      </w:r>
    </w:p>
    <w:p>
      <w:r>
        <w:rPr>
          <w:b/>
        </w:rPr>
        <w:t>E. 3.2.1</w:t>
      </w:r>
    </w:p>
    <w:p>
      <w:r>
        <w:t>Contrairement à ce que soutient l’appelante, la mesure d’ISMV a pour but de tout tenter « en ambulatoire » avant la prise d’une mesure plus radicale, telle un placement de l’enfant, et de renseigner au mieux les différents intervenants sur les conditions de vie au sein du foyer dans lequel vit l’enfant. Or, dans le cas de F.________, une telle mesure est opportune et dès lors justifiée au vu de la conflictualité extrême autour de celui-ci et des diverses accusations réciproques (accusation portée par la mère d’actes d’ordre sexuel de la part du père sur l’enfant, accusations portées par le père d’entrave de son droit de visite par le comportement de la mère et de l’existence d’un lien fusionnel malsain entre celle-ci et leur fils), de même que des requêtes incessantes déposées par les parties à chaque occasion. Quant au principe de la proportionnalité, celui-ci est respecté dans la mesure où il existe un besoin réel d’en savoir davantage sur les conditions de vie de l’enfant F.________ chez chacun de ses parents, de protéger au mieux son développement et notamment d’évaluer si une mesure plus incisive serait éventuellement nécessaire. La curatelle d’assistance éducative et de surveillance des relations personnelles instaurée ne permet pas d’obtenir une telle évaluation de manière si rapide et intensive ; seule une observation en milieu de vie le permet. Enfin, s’agissant du coût de la mesure d’ISMV, il n’est pas mis à la charge de l’appelante en l’état, de sorte que son appel est prématuré et donc irrecevable sur ce point. En tout état de cause, les parents sans moyens financiers suffisants peuvent bénéficier d’un soutien financier par l’Etat pour ce faire.</w:t>
      </w:r>
    </w:p>
    <w:p>
      <w:r>
        <w:rPr>
          <w:b/>
        </w:rPr>
        <w:t>E. 4</w:t>
      </w:r>
    </w:p>
    <w:p>
      <w:r>
        <w:t>En définitive, l’appel, manifestement mal fondé, doit être rejeté dans la mesure de sa recevabilité en application de l’art. 312 al. 1 in fine CPC et l’ordonnance entreprise confirmée.</w:t>
      </w:r>
    </w:p>
    <w:p>
      <w:r>
        <w:t>- 16 -</w:t>
      </w:r>
    </w:p>
    <w:p>
      <w:r>
        <w:rPr>
          <w:b/>
        </w:rPr>
        <w:t>E. 4.1</w:t>
      </w:r>
    </w:p>
    <w:p>
      <w:r>
        <w:t>Les frais judiciaires de deuxième instance, arrêtés à 600 fr. (art. 63 al. 1 et 65 al. 2 TFJC [tarif des frais judiciaires civils du 28 septembre 2010 ; BLV 270.11.5]), seront mise à la charge de l’appelante qui succombe (art. 106 al. 1 CPC).</w:t>
      </w:r>
    </w:p>
    <w:p>
      <w:r>
        <w:rPr>
          <w:b/>
        </w:rPr>
        <w:t>E. 4.2</w:t>
      </w:r>
    </w:p>
    <w:p>
      <w:r>
        <w:t>Il ne sera pas alloué de dépens de deuxième instance, dès lors que l’intimé n’a pas été invité à se déterminer sur l’appel. Par identité de motifs, il n’y a pas lieu d’arrêter l’indemnité de la curatrice de représentation pour la procédure d’appel.</w:t>
      </w:r>
    </w:p>
    <w:p>
      <w:r>
        <w:rPr>
          <w:b/>
        </w:rPr>
        <w:t>E. 4.3</w:t>
      </w:r>
    </w:p>
    <w:p>
      <w:r>
        <w:t>La décision relative à l’éventuel octroi de l’assistance judiciaire à l’appelante a été réservée par courrier du 8 septembre 2025. Sa requête doit être rejetée : l’appel était, pour les motifs qui précèdent, d’emblée dénué de chance de succès, de sorte qu’il n’aurait pas été formé par un plaideur raisonnable (art. 117 let. b CPC). Les conditions de l’art. 117 CPC étant cumulatives (TF 5A_396/2018 du 29 juin 2018 consid. 5.1), il n’y a pas lieu d’examiner l’éventuelle indigence de l’appelante. Par ces motifs, la Juge unique de la Cour d’appel civile prononce : I. L’appel est rejeté. II. L’ordonnance est confirmée. III. La demande d’assistance judiciaire de l’appelante A.V.________ pour la procédure de deuxième instance est rejetée. IV. Les frais judiciaires de deuxième instance, arrêtés à 600 fr. (six cents francs), sont mis à la charge de l’appelante A.V.________.</w:t>
      </w:r>
    </w:p>
    <w:p>
      <w:r>
        <w:t>- 17 - V. L’arrêt est exécutoire. La juge unique : La greffière : Du Le présent arrêt, dont la rédaction a été approuvée à huis clos, est notifié en expédition complète à : - Mme A.V.________, née [...], personnellement, - Me Estelle Chanson, avocate (pour B.V.________), - Me T.________, curatrice de représentation, et communiqué, par l'envoi de photocopies, à : - Mme la Présidente du Tribunal civil de l’arrondissement de La Côte, - Direction générale de l’enfance et de la jeunesse, ORPM de l’Ouest.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