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TD23.055351 vom 7. April 2026</w:t>
      </w:r>
    </w:p>
    <w:p>
      <w:r>
        <w:t>VD Tribunal cantonal, 2026-04-07, FR</w:t>
      </w:r>
    </w:p>
    <w:p>
      <w:r>
        <w:rPr>
          <w:b/>
        </w:rPr>
        <w:t xml:space="preserve">Quelle: </w:t>
      </w:r>
      <w:r>
        <w:t>https://mcp.opencaselaw.ch/entscheid/vd_gerichte_TD23.055351</w:t>
      </w:r>
    </w:p>
    <w:p>
      <w:r>
        <w:t>FR: VD_GERICHTE TD23.055351 du 7 avril 2026</w:t>
      </w:r>
    </w:p>
    <w:p>
      <w:r>
        <w:t>IT: VD_GERICHTE TD23.055351 del 7 aprile 2026</w:t>
      </w:r>
    </w:p>
    <w:p>
      <w:pPr>
        <w:pStyle w:val="Heading2"/>
      </w:pPr>
      <w:r>
        <w:t>Erwägungen</w:t>
      </w:r>
    </w:p>
    <w:p>
      <w:r>
        <w:rPr>
          <w:b/>
        </w:rPr>
        <w:t>E. 1</w:t>
      </w:r>
    </w:p>
    <w:p>
      <w:r>
        <w:t>Par ordonnance de mesures provisionnelles du 23 mars 2026, la Présidente du Tribunal civil de l’arrondissement de Lausanne (ci-après : la présidente) a en substance dit que B.________ contribuerait à l’entretien de sa fille E.________ par le régulier versement d’une pension mensuelle de 1'080 fr., éventuelles allocations familiales dues en sus, dès le 3 mars 2025 (I), a rejeté toutes autres ou plus amples conclusions (IV) et a déclaré l’ordonnance immédiatement exécutoire, nonobstant appel (V).</w:t>
      </w:r>
    </w:p>
    <w:p>
      <w:r>
        <w:rPr>
          <w:b/>
        </w:rPr>
        <w:t>E. 2</w:t>
      </w:r>
    </w:p>
    <w:p>
      <w:r>
        <w:t>Par acte du 1er avril 2026, A.________ (ci-après : la requérante) a interjeté appel de cette ordonnance et a simultanément requis l’octroi de l’effet suspensif à son appel. B.________ (ci-après : l’intimé) n’a pas été invité à se déterminer sur la requête d’effet suspensif.</w:t>
      </w:r>
    </w:p>
    <w:p>
      <w:r>
        <w:rPr>
          <w:b/>
        </w:rPr>
        <w:t>E. 3.1.1</w:t>
      </w:r>
    </w:p>
    <w:p>
      <w:r>
        <w:t>Aux termes de l’art. 315 al. 2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19J120</w:t>
      </w:r>
    </w:p>
    <w:p>
      <w:r>
        <w:t>- 3 - conséquences matérielles qu’elles engendrent (ATF 138 III 378 consid. 6.3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w:t>
      </w:r>
    </w:p>
    <w:p>
      <w:r>
        <w:rPr>
          <w:b/>
        </w:rPr>
        <w:t>E. 3.1.2</w:t>
      </w:r>
    </w:p>
    <w:p>
      <w:r>
        <w:t>Conformément à l'art. 311 al. 1 CPC, l'appel doit être motivé, sous peine d’irrecevabilité (ATF 147 III 176 consid. 4.2.1, RSPC 2021 p. 252 ; TF 4A_439/2023 du 9 septembre 2024 consid. 4.1.1 ; TF 5A_647/2023 du</w:t>
      </w:r>
    </w:p>
    <w:p>
      <w:r>
        <w:rPr>
          <w:b/>
        </w:rPr>
        <w:t>E. 3.2</w:t>
      </w:r>
    </w:p>
    <w:p>
      <w:r>
        <w:t>En l’espèce, la requérante se contente de conclure à l’octroi de l’effet suspensif au motif qu’elle risquerait « de subir un préjudice difficilement réparable ». Elle ne motive nullement sa requête et n’apporte aucune explication qui justifierait de suspendre le caractère exécutoire du dispositif de l’ordonnance entreprise. En particulier, elle n’expose pas en quoi son exécution immédiate serait susceptible de lui causer un préjudice difficilement réparable, son allégation générale selon laquelle cela la placerait « dans une situation de précarité immédiate » ne suffisant pas. Les exigences de l’art. 311 al. 1 CPC ne sont dès lors manifestement pas respectées, de sorte que la requête d’effet suspensif est irrecevable. 4. En définitive, la requête d’effet suspensif est irrecevable. Il sera statué sur les frais judiciaires et les dépens dans le cadre de l’arrêt sur appel à intervenir (cf. art. 104 al. 3 CPC). 19J120</w:t>
      </w:r>
    </w:p>
    <w:p>
      <w:r>
        <w:t>- 4 - Par ces motifs, le Juge unique de la Cour d’appel civile, prononce : I. La requête d’effet suspensif est irrecevable. II. Il sera statué sur les frais judiciaires et les dépens de la présente ordonnance dans le cadre de l’arrêt sur appel à intervenir. Le juge unique : Le greffier : Du La présente ordonnance, dont la rédaction a été approuvée à huis clos, est notifiée à : - Me C.________, pour Mme A.________, - Me D.________, pour M. B.________, et communiqué,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19J120</w:t>
      </w:r>
    </w:p>
    <w:p>
      <w:r>
        <w:t>- 5 - recours doivent être déposés devant le Tribunal fédéral dans les trente jours qui suivent la présente notification (art. 100 al. 1 LTF). Le greffier : 19J120</w:t>
      </w:r>
    </w:p>
    <w:p>
      <w:r>
        <w:rPr>
          <w:b/>
        </w:rPr>
        <w:t>E. 5</w:t>
      </w:r>
    </w:p>
    <w:p>
      <w:r>
        <w:t>mars 2024 consid. 5.2). Cette exigence vaut également lorsqu'il s'agit de démontrer – ou à tout le moins de rendre vraisemblable – l'existence d'un préjudice difficilement réparable justifiant l’octroi de l’effet suspensif (Juge unique CACI 29 octobre 2025/ES96 ; Juge unique CACI 3 juillet 2025/ES63 consid. 1.1.4 ; Juge unique CACI 1er novembre 2024/ES90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