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TD23.049916 vom 12. November 2024</w:t>
      </w:r>
    </w:p>
    <w:p>
      <w:r>
        <w:t>VD Tribunal cantonal, 2024-11-12, FR</w:t>
      </w:r>
    </w:p>
    <w:p>
      <w:r>
        <w:rPr>
          <w:b/>
        </w:rPr>
        <w:t xml:space="preserve">Quelle: </w:t>
      </w:r>
      <w:r>
        <w:t>https://mcp.opencaselaw.ch/entscheid/vd_gerichte_TD23.049916</w:t>
      </w:r>
    </w:p>
    <w:p>
      <w:r>
        <w:t>FR: VD_GERICHTE TD23.049916 du 12 novembre 2024</w:t>
      </w:r>
    </w:p>
    <w:p>
      <w:r>
        <w:t>IT: VD_GERICHTE TD23.049916 del 12 novembre 2024</w:t>
      </w:r>
    </w:p>
    <w:p>
      <w:pPr>
        <w:pStyle w:val="Heading2"/>
      </w:pPr>
      <w:r>
        <w:t>Erwägungen</w:t>
      </w:r>
    </w:p>
    <w:p>
      <w:r>
        <w:rPr>
          <w:b/>
        </w:rPr>
        <w:t>E. 1</w:t>
      </w:r>
    </w:p>
    <w:p>
      <w:r>
        <w:t>Par prononcé du 28 octobre 2024, la Présidente du Tribunal civil de l’arrondissement de la Broye et du Nord vaudois (ci-après : la présidente) a fixé l’indemnité de conseil d’office de Q.________, allouée à Me Gloria Capt, à 6'047 fr. 80, débours, vacations et TVA compris, pour la période du 17 juillet 2023 au 19 septembre 2024, et a dit que Q.________, bénéficiaire de l’assistance judiciaire, était tenu au remboursement de l’indemnité allouée à son conseil d’office, provisoirement laissée à la charge de l’Etat, dès qu’il sera en mesure de le faire. La présidente a arrêté l’indemnité d’office de Me Capt en se fondant sur sa liste des opérations du 8 octobre 2024. Après avoir examiné et évalué ces opérations sur la base du dossier, elle a considéré que les 29 heures de travail annoncées paraissaient justifiées. Partant, la totalité du temps de travail revendiqué devait être indemnisée. Compte tenu du tarif horaire de 180 fr., du forfait de 5 % pour les débours, de la vacation forfaitaire de 120 fr. et de la TVA, l’indemnité a été arrêtée à 6'047 fr. 80.</w:t>
      </w:r>
    </w:p>
    <w:p>
      <w:r>
        <w:rPr>
          <w:b/>
        </w:rPr>
        <w:t>E. 2</w:t>
      </w:r>
    </w:p>
    <w:p>
      <w:r>
        <w:t>Par acte du 31 octobre 2024 adressé au Tribunal d’arrondissement de la Broye et du Nord vaudois, Q.________ (ci-après : le recourant) a interjeté recours contre ce prononcé.</w:t>
      </w:r>
    </w:p>
    <w:p>
      <w:r>
        <w:rPr>
          <w:b/>
        </w:rPr>
        <w:t>E. 3.1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in Bohnet et al., Commentaire romand, Code de procédure civile, 2e éd., Bâle 2019 [cité ci-après : CR-CPC], n. 21 ad art. 122 CPC). L’art. 122 al. 1 let. a CPC règle la rémunération du conseil d’office. Cette disposition figure au chapitre qui réglemente l’assistance</w:t>
      </w:r>
    </w:p>
    <w:p>
      <w:r>
        <w:t>- 3 -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interjeter recours est de dix jours (art. 321 al. 2 CPC). Le délai est respecté lorsque l’acte est acheminé en temps utile auprès de l’autorité de première instance, laquelle doit le transmettre sans délai à l’autorité de deuxième instance compétente (ATF 140 III 636 consid. 3.6). Etant tenu de rembourser l’assistance judiciaire selon l’art. 123 al. 1 CPC, le bénéficiaire de l’assistance judiciaire dispose à titre personnel d’un intérêt à recourir contre la rémunération équitable de son conseil d’office, accordée selon l’art. 122 al. 1 let. a CPC (CREC 4 octobre 2022/231 ; Tappy, op. cit., n. 22 ad art. 122 CPC).</w:t>
      </w:r>
    </w:p>
    <w:p>
      <w:r>
        <w:rPr>
          <w:b/>
        </w:rPr>
        <w:t>E. 3.2.1</w:t>
      </w:r>
    </w:p>
    <w:p>
      <w:r>
        <w:t>Pour être recevable, le recours doit être motivé (art. 321 al. 1 in initio CPC). Il incombe au recourant de s’en prendre à la motivation de la décision attaquée pour tendre à en démontrer le caractère erroné (ATF 147 III 176 consid. 4.2.1 et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3.2.2</w:t>
      </w:r>
    </w:p>
    <w:p>
      <w:r>
        <w:t>Le recours doit en outre contenir, sous peine d'irrecevabilité, des conclusions. Bien que le recours déploie avant tout un effet cassatoire, le recourant doit prendre des conclusions au fond, sous peine d’irrecevabilité du recours, afin de permettre à l’autorité de recours de</w:t>
      </w:r>
    </w:p>
    <w:p>
      <w:r>
        <w:t>- 4 - statuer à nouveau pour le cas où les conditions de l’art. 327 al. 3 let. b CPC seraient réunies (CREC 4 juillet 2022/163 ; Jeandin, CR‑CPC, n. 5 ad art. 321 CPC). Dès lors, les conclusions doivent être rédigées d’une manière suffisamment précise pour pouvoir être reprises telles quelles dans le dispositif de la décision à rendre (ATF 137 Ill 617 consid. 4.3 et 4.4 et réf. cit., SJ 2012 1373 ; TF 4D_71/2020 du 23 février 2021 consid. 3.1). Il s’ensuit qu’en matière pécuniaire, les conclusions doivent être chiffrées (ATF 137 III 617 consid. 4.3 et 4.4 et réf. cit., SJ 2012 I 373 ; CREC 11 février 2020/41). L’exigence de conclusions chiffrées sous peine d’irrecevabilité du recours contre un prononcé sur frais ne constitue pas un formalisme excessif (cf. TF 5A_872/2022 du 6 juin 2023 consid. 3.3.1 en matière de dépens ; TF 4D_61/2011 du 26 octobre 2011 consid. 2.3, in Revue suisse de procédure civile 2012 p. 92).</w:t>
      </w:r>
    </w:p>
    <w:p>
      <w:r>
        <w:rPr>
          <w:b/>
        </w:rPr>
        <w:t>E. 3.2.3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réf. cit.). L’art. 132 CPC ne permet pas non plus de compléter ou d’améliorer une motivation insuffisante, ce même si le mémoire émane d’une personne sans formation juridique (ATF 137 III 617 consid. 6.4 ; TF 5A_368/2018, loc. cit. ; TF 4A_375/2015 du 26 janvier 2016 consid. 7.2, non publié in ATF 142 III 102).</w:t>
      </w:r>
    </w:p>
    <w:p>
      <w:r>
        <w:rPr>
          <w:b/>
        </w:rPr>
        <w:t>E. 3.3</w:t>
      </w:r>
    </w:p>
    <w:p>
      <w:r>
        <w:t>En l’espèce, le recours a été déposé en temps utile auprès de l’autorité précédente par une personne qui y a un intérêt (art. 59 al. 2 let. a CPC). Le recourant fait valoir que le montant réclamé par Me Capt serait « excessif et injustifié au regard des prestations réellement fournies ». Si le recourant indique dans son acte être disposé à régler « une partie des honoraires » en question, celui-ci ne prend cependant aucune conclusion chiffrée à cet égard, se limitant à solliciter la</w:t>
      </w:r>
    </w:p>
    <w:p>
      <w:r>
        <w:t>- 5 - « révision » du montant en question. Par ailleurs, il n’y a pas lieu d’accorder au recourant un délai supplémentaire pour compléter ses conclusions déficientes, le vice étant irrémédiable.</w:t>
      </w:r>
    </w:p>
    <w:p>
      <w:r>
        <w:rPr>
          <w:b/>
        </w:rPr>
        <w:t>E. 4</w:t>
      </w:r>
    </w:p>
    <w:p>
      <w:r>
        <w:t>Le recours doit dès lors être déclaré irrecevable en application de l’art. 322 al. 1 in fine CPC. Le présent arrêt peut être rendu sans frais judiciaires (art. 11 TFJC [tarif des frais judiciaires civils du 28 septembre 2010 ; BLV 270.11.5]) ni dépens de deuxième instance, Me Capt n’ayant pas été invitée à se déterminer sur le recours. Par ces motifs, la Chambre des recours civile du Tribunal cantonal, en application de l'art. 322 al. 1 CPC, prononce : I. Le recours est irrecevable. II. L’arrêt, rendu sans frais, est exécutoire.</w:t>
      </w:r>
    </w:p>
    <w:p>
      <w:r>
        <w:t>- 6 - La présidente : Le greffier : Du L'arrêt qui précède, dont la rédaction a été approuvée à huis clos, est notifié à : - M. Q.________, - Me Gloria Capt.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