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TD23.037123 vom 2. Oktober 2024</w:t>
      </w:r>
    </w:p>
    <w:p>
      <w:r>
        <w:t>VD Tribunal cantonal, 2024-10-02, FR</w:t>
      </w:r>
    </w:p>
    <w:p>
      <w:r>
        <w:rPr>
          <w:b/>
        </w:rPr>
        <w:t xml:space="preserve">Quelle: </w:t>
      </w:r>
      <w:r>
        <w:t>https://mcp.opencaselaw.ch/entscheid/vd_gerichte_TD23.037123</w:t>
      </w:r>
    </w:p>
    <w:p>
      <w:r>
        <w:t>FR: VD_GERICHTE TD23.037123 du 2 octobre 2024</w:t>
      </w:r>
    </w:p>
    <w:p>
      <w:r>
        <w:t>IT: VD_GERICHTE TD23.037123 del 2 ottobre 2024</w:t>
      </w:r>
    </w:p>
    <w:p>
      <w:pPr>
        <w:pStyle w:val="Heading2"/>
      </w:pPr>
      <w:r>
        <w:t>Volltext</w:t>
      </w:r>
    </w:p>
    <w:p>
      <w:r>
        <w:t>TRIBUNAL CANTONAL TD23.037123-241207 241 CHAMBRE D E S RECOURS CIVIL E _________________________________________ Arrêt du 2 octobre 2024 __________________ Composition : Mme CHERPILLOD, présidente M. Pellet et Mme Courbat, juges Greffière : Mme Egger Rochat ***** Art. 110 et 319 let. b ch. 1 CPC Statuant à huis clos sur le recours interjeté par J.________, à [...], contre la décision rendue le 30 août 2024 par la Présidente du Tribunal civil de l’arrondissement de l’Est vaudois arrêtant son indemnité de conseil d’office de A.N.________, à [...], la Chambre des recours civile du Tribunal cantonal considère : 854</w:t>
      </w:r>
    </w:p>
    <w:p>
      <w:r>
        <w:t>- 2 - En fait : A. Par décision du 30 août 2024, la Présidente du Tribunal civil de l’arrondissement de l’Est vaudois (ci-après : la présidente) a fixé l’indemnité intermédiaire de conseil d’office de A.N.________, allouée à Me J.________, à 4'161 fr. 75, débours et TVA compris, pour la période du 10 octobre 2023 au 16 mai 2024 (I), a dit que la bénéficiaire de l’assistance judiciaire A.N.________ était tenue au remboursement de l’indemnité de son conseil d’office, laissée provisoirement à la charge de l’Etat, dès qu’elle serait en mesure de le faire (II) et a rendu la décision sans frais (III). En droit, la première juge a admis le temps annoncé de 3h25 pour la période du 23 octobre au 31 décembre 2023. En revanche, elle a considéré que le temps indiqué de 20h25, sur un total de 26h20 effectuées en 2024, pour la préparation et rédaction de la réponse, en date des 26 février, 15 mars, 12,16, 17, 18, 23 et 25 avril ainsi que des 2, 6 et 13 mai 2024 était excessif compte tenu de la complexité de la cause et de l’écriture déposée. Elle a ainsi retranché 10 heures pour la période du 10 janvier au 16 mai 2024. La présidente a ainsi fixé l’indemnité en tenant compte de 824 fr. 70, soit 3h25 au tarif horaire d’un avocat breveté, débours et TVA compris, pour la période du 23 octobre au 31 décembre 2023, et de 3'337 fr. 05, soit 16h20 au même tarif horaire, débours et TVA compris, pour la période du 10 janvier au 16 mai 2024, ce qui aboutit à un total de 4'161 fr. 75. B. Le 11 septembre 2024, J.________ (ci-après : la recourante) a recouru contre la décision précitée en concluant, avec suite de frais, à sa réforme en ce sens que l’indemnité intermédiaire de conseil d’office de A.N.________ (ci-après : l’intimée) qui lui est allouée soit fixée à 6'205 fr., débours et TVA compris, pour la période du 10 octobre 2023 au 16 mai 2024 et, subsidiairement, à son annulation, la cause étant renvoyée à</w:t>
      </w:r>
    </w:p>
    <w:p>
      <w:r>
        <w:t>- 3 - l’autorité de première instance pour nouvelle décision dans le sens des considérants.</w:t>
      </w:r>
    </w:p>
    <w:p>
      <w:r>
        <w:t>- 4 - C. La Chambre des recours civile retient les faits pertinents suivants : 1. Par prononcé du 26 octobre 2023, la présidente a accordé à l’intimée le bénéfice de l’assistance judiciaire dans la cause en divorce l’opposant à B.N.________, avec effet au 29 septembre 2023, et a désigné la recourante en qualité de conseil d’office. 2. Le 31 janvier 2024, B.N.________ a déposé des conclusions motivées pour compléter sa demande unilatérale en divorce du 30 août 2023, comprenant 115 allégués et une page de conclusions. Le 13 mai 2024, l’intimée a déposé une réponse de 38 pages, par l’intermédiaire de son conseil d’office, comprenant 8 pages de déterminations et 183 allégués, ainsi qu’une page de conclusions. Cette réponse était accompagnée de 52 pièces sous bordereau, ainsi que de 14 pièces requises. 3. Le 23 mai 2024, la recourante a déposé une liste intermédiaire de ses opérations et débours indiquant, d’une part, 3h25 de temps consacré au dossier pour la période du 23 octobre 2023 au 19 décembre 2023 représentant un montant total de 824 fr. 85 et, d’autre part, 26h20 de temps consacré au dossier pour la période du 10 janvier 2024 au 16 mai 2024 représentant un montant total de 5'380 fr. 15. Elle requerrait le paiement d’honoraires d’un montant global de 6'205 fr., TVA et débours compris. Le temps consacré du 26 février au 13 mai 2024 à la rédaction de la réponse était indiqué à raison de 20h25 sur un total de 26h20. En date des 18, 22 et 25, avril 2024, ainsi que des 6 et 13 mai 2024, la recourante a eu des entretiens avec sa cliente.</w:t>
      </w:r>
    </w:p>
    <w:p>
      <w:r>
        <w:t>- 5 - En d roit : 1. 1.1 La décision arrêtant la rémunération du conseil d'office au sens de l'art. 122 al. 1 let. a CPC (Code de procédure civile du 19 décembre 2008 ; RS 272) est une décision sur les frais qui ne peut être attaquée séparément que par un recours selon l'art. 110 CPC (TF 5A_120/2016 du 26 mai 2016 consid. 2.1 ; CREC 24 avril 2024/109 ; CREC 3 avril 2024/95 ; Tappy, Commentaire romand, Code de procédure civile [ci-après : CR-CPC],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5A_706/2018 du 11 janvier 2019 consid. 1.3 ; Tappy, op. cit., n. 22 ad art. 122 CPC). 1.2 En l'espèce, écrit, motivé et formé en temps utile par une partie disposant d’un intérêt digne de protection (art. 59 al. 2 let. a CPC), le recours est recevable. 2.</w:t>
      </w:r>
    </w:p>
    <w:p>
      <w:r>
        <w:t>- 6 - 2.1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la recourante a produit des pièces sous bordereau. Dès lors que ces pièces figurent au dossier de première instance, elles sont recevables. 3. 3.1 Dans un premier grief, la recourante fait valoir implicitement une violation du droit d’être entendue sous l’angle d’une motivation déficiente de la part de la présidente au sujet de la réduction de ses honoraires. Celle-ci aurait arbitrairement réduit de 10 heures le temps consacré aux opérations liées à l’élaboration de la réponse, cela « sans fournir de motivation adéquate », et n’aurait pas fourni de « précisions concrètes » relatives à cette réduction.</w:t>
      </w:r>
    </w:p>
    <w:p>
      <w:r>
        <w:t>- 7 - 3.2 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afin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w:t>
      </w:r>
    </w:p>
    <w:p>
      <w:r>
        <w:t>- 8 -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Ainsi,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 3.3 En l’espèce, la recourante invoque en vain une violation de son droit d’être entendue. La décision attaquée répertorie de manière précise, par dates, les opérations objets de la réduction du temps consacré au mandat d’office, estimant le temps excessif pour la rédaction d’une réponse. La décision apparaît ainsi parfaitement et suffisamment motivée et répond donc aux exigences jurisprudentielles précitées. 4. 4.1 Dans un second grief, la recourante invoque que la réduction n’était pas justifiée, au motif que la présidente n’aurait pas pris en compte « la nature complexe de l’affaire et le volume considérable de l’écriture ». La recourante aurait entrepris des démarches hors tribunal, telles que la collecte de nombreuses déterminations au vu du contenu de l’écriture, la rédaction d’au moins trois versions différentes d’écriture, modifiées à chaque fois sur demande de la cliente, en fonction de la stratégie adoptée.</w:t>
      </w:r>
    </w:p>
    <w:p>
      <w:r>
        <w:t>- 9 - Elle aurait ainsi déployé des « efforts essentiels » pour assurer une défense efficace. Par ailleurs, elle aurait affronté « une série d’obstacles imprévus et particulièrement complexes », ce qui aurait nécessité des « ajustements stratégiques incessants ». Elle se prévaut aussi de ce que sa cliente a validé la liste des opérations et ainsi exprimé son soutien aux démarches entreprises dans le cadre de sa défense d’office. La recourante rappelle que la réponse fait 38 pages et ne serait pas excessive au regard des allégués et arguments présentés dans la demande. 4.2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 TF 5D_118/2021 du 15 octobre 2021 consid. 5.1.1, précité, consid. 5.1.3 ; TF 5D_4/2018 du 17 avril 2018 consid. 3.4.2 ; CREC du 19 septembre 2024/223). Cependant, le temps consacré à la défense du client et les actes effectués ne peuvent être pris en considération sans distinction. Ainsi, le juge peut d'une part revoir le travail allégué par</w:t>
      </w:r>
    </w:p>
    <w:p>
      <w:r>
        <w:t>- 10 -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du 17 avril 2018, précité, consid. 6.2.2). L'avocat doit toutefois bénéficier d'une marge d'appréciation suffisante pour déterminer l'importance du travail qu'exige l'affaire (TF 5A_10/2018 du 17 avril 2018 consid. 3.2.2.3, RSPC 2018 p. 370 ; TF 5D_149/2016 du 30 janvier 2017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ne peut être pris en compte à titre d'activité déployée par l'avocat, s'agissant de pur travail de secrétariat.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Il est admissible de considérer que les opérations correspondent à l’envoi de courriels – ou, comme en l’espèce, de courriers – au client le même jour qu’un courrier à la partie adverse et/ou au tribunal, toutes comptabilisées de manière forfaitaire à 12 minutes, constituent manifestement des mémos non facturables (CREC 9 novembre 2023/231 consid. 3.2.2 et réf. citées ; CREC</w:t>
      </w:r>
    </w:p>
    <w:p>
      <w:r>
        <w:t>- 11 - 6 novembre 2023/2028 consid. 3.2.2 ; CREC 16 août 2022/189 consid. 3.2.1). C'est à l'avocat d'office de démontrer que les opérations pour lesquelles il entend être indemnisé étaient justifiées, quitte à fournir une note explicative avec sa note de frais (CREC 6 novembre 2023/228 consid. 3.3.2). A cet égard, la jurisprudence fédérale expose expressément que, si l’avocat d’office présente une note de frais et honoraires, le droit d’être entendu garanti par l’art. 29 al. 2 Cst. féd. n’oblige pas l’autorité à lui donner, dans chaque cas, l’occasion de fournir des explications ultérieures et qu’il n’est, en principe, pas violé ci celle-là réduit la créance des honoraires de l’avocat sans audition complémentaire (TF 5D_31/2022 du 11 août 2022 consid. 6.2 et réf citées). 4.3 En l’espèce, au vu de la jurisprudence précitée, il incombait à la recourante de démontrer à la présidente que la rédaction de l’écriture litigieuse était d’une complexité telle qu’elle nécessitait plus de 20 heures de travail. Or, même dans son recours, la recourante se limite à exposer qu’elle a été confrontée à des obstacles imprévus et complexes, sans pour autant les décrire concrètement, de sorte que l’on ne sait pas en quoi ces obstacles consistaient réellement et en quoi ils étaient indispensables pour les « ajustements stratégiques incessants » invoqués. Contrairement à ce que semble plaider la recourante, la première juge n’a réduit de moitié que le temps consacré à la rédaction de la réponse et a maintenu à raison de quelque 6 heures le temps consacré pour les autres opérations annoncées, soit les entretiens avec la cliente, ainsi que les divers courriers envoyés au tribunal et courriels adressés à la cliente simultanément, dont la plupart paraissent plutôt relever d’un travail de secrétariat et constituer des mémos non facturables. En définitive, la recourante ne plaide aucun élément qui permette de s’écarter de l’appréciation de la présidente.</w:t>
      </w:r>
    </w:p>
    <w:p>
      <w:r>
        <w:t>- 12 - 5. En définitive, le recours doit être rejeté et la décision confirmée. Vu l’issue du recours, les frais judiciaires de deuxième instance, arrêtés à 200 fr. (art. 69 al. 1 et 70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200 fr. (deux cents francs), sont à mis à la charge de la recourante J.________. IV. L’arrêt est exécutoire. La présidente : La greffière :</w:t>
      </w:r>
    </w:p>
    <w:p>
      <w:r>
        <w:t>- 13 - Du L'arrêt qui précède est notifié en expédition complète, par l'envoi de photocopies, à : - Me J.________, av., - Mme A.N.________,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