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TD23.021841 vom 5. Februar 2026</w:t>
      </w:r>
    </w:p>
    <w:p>
      <w:r>
        <w:t>VD Tribunal cantonal, 2026-02-05, FR</w:t>
      </w:r>
    </w:p>
    <w:p>
      <w:r>
        <w:rPr>
          <w:b/>
        </w:rPr>
        <w:t xml:space="preserve">Quelle: </w:t>
      </w:r>
      <w:r>
        <w:t>https://mcp.opencaselaw.ch/entscheid/vd_gerichte_TD23.021841</w:t>
      </w:r>
    </w:p>
    <w:p>
      <w:r>
        <w:t>FR: VD_GERICHTE TD23.021841 du 5 février 2026</w:t>
      </w:r>
    </w:p>
    <w:p>
      <w:r>
        <w:t>IT: VD_GERICHTE TD23.021841 del 5 febbraio 2026</w:t>
      </w:r>
    </w:p>
    <w:p>
      <w:pPr>
        <w:pStyle w:val="Heading2"/>
      </w:pPr>
      <w:r>
        <w:t>Erwägungen</w:t>
      </w:r>
    </w:p>
    <w:p>
      <w:r>
        <w:rPr>
          <w:b/>
        </w:rPr>
        <w:t>E. 3.1</w:t>
      </w:r>
    </w:p>
    <w:p>
      <w:r>
        <w:t>Le recourant se plaint en premier lieu d’une violation de son droit d’être entendu, notamment de l’absence de consultation des parties sur le devis fourni par l’expert. Le devis n’ayant pas été transmis aux parties, il expose ne pas avoir eu la possibilité de se déterminer avant que la présidente ne fixe l’avance de frais d’expertise aux parties.</w:t>
      </w:r>
    </w:p>
    <w:p>
      <w:r>
        <w:rPr>
          <w:b/>
        </w:rPr>
        <w:t>E. 3.2</w:t>
      </w:r>
    </w:p>
    <w:p>
      <w:r>
        <w:t>Conformément aux art. 6 CEDH (Convention de sauvegarde des droits de l’homme et des libertés fondamentales du 4 novembre 1950 ; RS 0.101), 29 al. 2 Cst. et 53 al. 1 CPC, les parties ont le droit d’être entendues. Compris comme l’un des aspects de la notion générale de procès équitable, 14J001</w:t>
      </w:r>
    </w:p>
    <w:p>
      <w:r>
        <w:t>- 6 -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 TF 7B_297/2025 du 28 août 2025 consid. 2.2 ; TF 5A_573/2023, 5A_846/2023 du 21 mai 2025 consid. 7.1). L’expert a droit à une rémunération (art. 184 al. 3, 1ère phrase CPC). En général, l’expert est invité à fournir un devis, qui est accepté ou négocié par le tribunal après consultation des parties. De cette consultation peut résulter une limitation (voire une amplification) de la mission de l’expert, et une adaptation des conditions financières proposées (CREC 14 janvier 2025/10 consid. 3.3.2 ; CREC 8 décembre 2016/489 consid. 3.4.2). La jurisprudence considère qu’en principe, les parties doivent pouvoir se prononcer sur le devis de l’expert avant que l’avance ne soit formellement demandée. Si le juge a omis d’interpeller les parties à cet égard, la décision fixant l’avance de frais doit être annulée pour violation grave du droit d’être entendu, qui ne peut être réparée en procédure de recours (CREC 14 janvier 2025/10, loc. cit. ; CREC 7 août 2018/223 consid. 3.2 ; cf. CREC 8 décembre 2016/489 précité, consid. 3.4.3).</w:t>
      </w:r>
    </w:p>
    <w:p>
      <w:r>
        <w:rPr>
          <w:b/>
        </w:rPr>
        <w:t>E. 3.3</w:t>
      </w:r>
    </w:p>
    <w:p>
      <w:r>
        <w:t>En l’espèce, il ne ressort d’aucune pièce du dossier, en particulier du procès-verbal des opérations, que la présidente aurait invité préalablement le recourant à se déterminer sur le devis de l’expert avant de lui impartir un délai pour verser une avance de frais de 18’000 francs. La décision consacre ainsi une violation du droit d'être entendu du recourant. 14J001</w:t>
      </w:r>
    </w:p>
    <w:p>
      <w:r>
        <w:t>- 7 - Vu le sort du recours, il n’y a pas lieu d’examiner le grief du recourant relatif à la répartition des avances de frais entre les parties, qui devient sans objet. On relèvera toutefois qu’il reviendra à l’autorité de première instance, une fois les déterminations des parties recueillies, de se prononcer à nouveau sur les avances de frais à effectuer en lien avec l’expertise sous l’empire de l’art. 102 al. 1 CPC qui prescrit que chaque partie avance les frais d’administration des preuves qu’elle requiert.</w:t>
      </w:r>
    </w:p>
    <w:p>
      <w:r>
        <w:rPr>
          <w:b/>
        </w:rPr>
        <w:t>E. 4</w:t>
      </w:r>
    </w:p>
    <w:p>
      <w:r>
        <w:t>Le recours doit être admis et la décision annulée, la cause étant renvoyée à la présidente pour nouvelles instruction et décision dans le sens des considérants. Ce renvoi étant dicté par une violation du droit d’être entendu et la cause n’étant pas préjugée sur le fond, il ne se justifie pas d’inviter les autres parties à présenter des déterminations ou d’ordonner un échange d’écritures (TF 6B_852/2022 du 26 avril 2023 consid. 6 ; TF 6B_1226/2016 du 16 août 2018 consid. 5 ; CREC 24 juin 2025/141 consid. 4.1 ; CREC 28 mai 2021/159 consid. 4.1). Les frais judiciaires de deuxième instance, arrêtés à 480 fr. (art. 69 al. 1 et 70 al. 3 TFJC), sont laissés à la charge de l’Etat (art. 106 al. 1 CPC ; ATF 140 III 501 consid. 4 par analogie). Le recourant a droit à des dépens de deuxième instance, arrêtés à 600 fr., à la charge de l’Etat (art. 8 TDC [tarif des dépens en matière civile du 23 novembre 2010 ; BLV 270.11.6] ; ATF 142 III 110 consid. 3.2). 14J001</w:t>
      </w:r>
    </w:p>
    <w:p>
      <w:r>
        <w:t>- 8 - Par ces motifs, la Chambre des recours civile du Tribunal cantonal, prononce : I. Le recours est admis. II. La décision du 15 décembre 2025 est annulée et la cause renvoyée à la Présidente du Tribunal civil de l’arrondissement de la Broye et du Nord vaudois pour nouvelles instruction et décision dans le sens des considérants. III. Les frais judiciaires de deuxième instance, arrêtés à 480 fr. (quatre cent huitante francs), sont laissés à la charge de l’Etat. IV. L’Etat de Vaud doit verser 600 fr. (six cents francs) au recourant B.________, à titre de dépens de deuxième instance. V. L’arrêt est exécutoire. La présidente : Le greffier : Du L’arrêt qui précède, dont la rédaction a été approuvée à huis clos, est notifié à : - Me Pascal Marti et Me Laure Héritier (pour B.________), - Me Mathias Micsiz (pour C.________). La Chambre des recours civile considère que la valeur litigieuse est inférieure à 30’000 francs. Le présent arrêt peut faire l’objet d’un recours en matière civile devant le Tribunal fédéral au sens des art. 72 ss LTF (loi sur le Tribunal 14J001</w:t>
      </w:r>
    </w:p>
    <w:p>
      <w:r>
        <w:t>- 9 -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