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TD23.016891 vom 29. August 2024</w:t>
      </w:r>
    </w:p>
    <w:p>
      <w:r>
        <w:t>VD Tribunal cantonal, 2024-08-29, FR</w:t>
      </w:r>
    </w:p>
    <w:p>
      <w:r>
        <w:rPr>
          <w:b/>
        </w:rPr>
        <w:t xml:space="preserve">Quelle: </w:t>
      </w:r>
      <w:r>
        <w:t>https://mcp.opencaselaw.ch/entscheid/vd_gerichte_TD23.016891</w:t>
      </w:r>
    </w:p>
    <w:p>
      <w:r>
        <w:t>FR: VD_GERICHTE TD23.016891 du 29 août 2024</w:t>
      </w:r>
    </w:p>
    <w:p>
      <w:r>
        <w:t>IT: VD_GERICHTE TD23.016891 del 29 agosto 2024</w:t>
      </w:r>
    </w:p>
    <w:p>
      <w:pPr>
        <w:pStyle w:val="Heading2"/>
      </w:pPr>
      <w:r>
        <w:t>Erwägungen</w:t>
      </w:r>
    </w:p>
    <w:p>
      <w:r>
        <w:rPr>
          <w:b/>
        </w:rPr>
        <w:t>E. 12</w:t>
      </w:r>
    </w:p>
    <w:p>
      <w:r>
        <w:t>juillet 2018 consid. 4.2).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Cela étant, lorsque le procès est soumis à la maxime inquisitoire illimitée, l'application stricte de l'art. 317 al. 1 CPC n'est pas justifiée et il est admis que les parties peuvent présenter des novas en appel même si les conditions de l'art. 317 al. 1 CPC ne sont pas réunies, afin de rendre une décision conforme à l’intérêt de l’enfant (ATF 144 III 349 consid. 4.2.1 et les réf. citées). 2.2 En l’espèce, les parties ont toutes deux produit diverses pièces à l’appui de leur appel, dont certaines sont nouvelles. Dans la mesure où</w:t>
      </w:r>
    </w:p>
    <w:p>
      <w:r>
        <w:t>- 15 - la majeure partie de l’instruction porte sur le droit de visite sur l’enfant U.________ et la contribution d’entretien en sa faveur, les pièces nouvelles doivent être déclarées recevables. 3. 3.1 L’appelant reproche au premier juge d’avoir nié l’existence d’un changement significatif et durable des circonstances, permettant la réduction des contributions d’entretien à sa charge. Il évoque à l’appui une plainte pénale déposée par l’appelante peu avant la conclusion de la convention du 5 novembre 2021, sans que l’on saisisse ce qu’il en déduit comme argument, indiquant par ailleurs qu’il a renoncé à dénoncer cet accord. L’appelant expose ne plus réaliser de revenus au sein des [...] et soutient que la naissance de sa fille [...] et la prise en charge de sa nouvelle compagne constitueraient des faits nouveaux, l’empêchant de mener le même train de vie que durant la vie commune avec l’appelante, augmentant ses charges de 6'800 fr. par mois, alors que la convention aurait fixé les contributions d’entretien sur un revenu mensuel de 14'000 fr., avant déduction fiscale. Il allègue aussi que la contribution d’entretien convenue pour U.________ comprenait des frais de garde, par 2'500 fr., alors que l’appelante ne fait pas appel à une tierce personne pour garder l’enfant, et qu’il faudrait dès lors réduire la pension. Enfin, il estime qu’il n’est pas tenu, conformément à la jurisprudence, d’entamer sa fortune pour subvenir à l’entretien de sa fille et son épouse, qui dispose également d’une fortune qu’elle pourrait mettre à contribution. 3.2 La première juge a considéré que l’appelant n’avait pas rendu vraisemblable que le maintien de la contribution d’entretien prévue en faveur de sa fille et de son épouse soit de nature à péjorer concrètement son train de vie et que la contribution d’entretien avait été fixée en fonction de la situation financière globale et non seulement des revenus. 3.3 En l’espèce, par convention du 5 novembre 2021, les parties se sont entendues sur une contribution d’entretien mensuelle à charge de l’appelant de 10'000 fr. en faveur de sa fille U.________ et de 7'000 fr. pour</w:t>
      </w:r>
    </w:p>
    <w:p>
      <w:r>
        <w:t>- 16 - son épouse. Dite convention ne détaille pas les différentes charges des précitées et ne mentionne pas, en particulier, de frais de garde. L’appelant ne soutient pas que les besoins de l’enfant ou de l’appelante se seraient amoindris. Bien qu’il explique avoir réalisé des revenus modestes dans le cadre de son travail aux [...], société qui a été déclarée en liquidation depuis quelques mois, il ne conteste pas les versements, à hauteur de plusieurs millions, reçus de la K.________. L’appelant n’exerce actuellement plus d’activité professionnelle ou lucrative et a déclaré en audience envisager s’installer en [...], sans aucun projet professionnel ou personnel précis. Sa situation financière, notamment sa fortune, lui permet donc manifestement de subvenir aussi bien à l’entretien de sa femme que de sa fille. L’appelante n’exerce aucune activité lucrative non plus, comme durant la vie commune, et ne perçoit pas de revenu pouvant être mis à contribution. Par ailleurs, la naissance d’une nouvelle enfant, [...], ne représente pas une charge telle que l’appelant ne serait plus en mesure de contribuer à l’entretien des siens, tout en disposant encore de moyens financiers lui permettant largement de conserver le même train de vie que durant la vie commune. A l’absence de fait nouveau ayant un impact notable sur la situation au sens de l’art. 179 al. 1 CC, il n’y a pas lieu de modifier les contributions d’entretien convenues. 4. 4.1 L’appelant soutient ensuite qu’un revenu hypothétique devrait être imputé à l’appelante dès le 1er septembre 2025 et critique la date du 1er janvier 2027, soit un an et quatre mois après l’entrée d’U.________ à l’école obligatoire, retenue par la première juge comme étant le moment à partir duquel un revenu correspondant à une activité lucrative à un taux minimum de 50 % pourrait être imputé à la mère. 4.2 Il ressort de la jurisprudence applicable en matière d'imputation d'un revenu hypothétique au parent gardien d’un enfant commun qu'on peut attendre de ce dernier qu'il recommence à travailler, en principe, à 50 % dès l'entrée du plus jeune enfant à l'école obligatoire,</w:t>
      </w:r>
    </w:p>
    <w:p>
      <w:r>
        <w:t>- 17 - à 80 % à partir du moment où celui-ci débute le degré secondaire, et à 100 % dès la fin de sa seizième année (ATF 144 III 481 consid. 4.7.6).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Le délai d’adaptation doit tenir compte des intérêts en présence et être fixé en fonction des circonstances concrètes du cas particulier (TF 5A_449/2013 du 21 janvier 2013 consid. 3.4.2 et 3.4.4).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4.3 En l’espèce, aucune raison ne justifie de s’écarter de la jurisprudence des « paliers » susmentionnée, d’autant plus qu’U.________ sera scolarisée dans une école privée à partir de la fin du mois d’août 2024. En 2025, l’enfant pourra également aller à la cantine les midis et sera donc prise en charge de manière à permettre à l’appelante d’exercer une activité professionnelle à 50 %. Un revenu hypothétique correspondant pourra donc être imputé à l’appelante à partir du 1er septembre 2025, ce qui lui laisse un délai d’adaptation généreux,</w:t>
      </w:r>
    </w:p>
    <w:p>
      <w:r>
        <w:t>- 18 - amplement suffisant pour retrouver un emploi, considérant le fait que, même si elle ne bénéficie d’aucune expérience professionnelle, elle est encore jeune et dispose d’un diplôme [...] et d’un certificat en courtage immobilier obtenu récemment. L’ordonnance entreprise sera réformée en ce sens au point VII de son dispositif. 5. L’appelante considère que la première juge a refusé à tort d’ordonner à l’appelant de demander ou faire valoir auprès de K.________ tous droits dont pourrait bénéficier l'enfant U.________ depuis sa naissance et ensuite de lui verser ou transférer ceux-ci, pour U.________. L’appelante explique que c’est dans l’intérêt de l’enfant que le père mette tout en œuvre pour qu’elle puisse obtenir les avantages substantiels dont elle pourrait bénéficier et que, sans la demande de l’appelant, rien ne lui serait octroyé. Si les avantages et les montants auxquels l’enfant aurait droit de la part de K.________ n’ont pas pu être établis à ce stade, il n’en demeure pas moins que, comme l’a constaté la présidente, il n’y a aucune urgence à statuer sur la question. L’urgence, qui constitue une condition au prononcé de mesures provisionnelles (art. 261 al. 1 CPC), n’a même pas été alléguée. Partant, la première juge a, à juste titre, renoncé à donner suite à ces conclusions de l’appelante. 6. 6.1 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w:t>
      </w:r>
    </w:p>
    <w:p>
      <w:r>
        <w:t>- 19 - 6.2 En l’espèce, les parties sont parvenues à un accord temporaire sur la question du droit de garde et succombent toutes deux sur quasi l’intégralité des conclusions restantes. Au vu de l’issue du litige, il convient de confirmer la répartition des frais en première instance, par moitié à charge de chaque partie et la compensation des dépens. La même répartition des frais se justifie en deuxième instance, au vu des circonstances. Ainsi, les frais, arrêtés à 1’200 fr. pour les deux appels (art. 65 al. 2 TFJC [tarif des frais judiciaires civils du 28 septembre 2010 ; BLV 270.11.5]), seront partagés par moitié entre chaque partie. Les dépens sont compensés. Par ces motifs, le Juge unique de la Cour d’appel civile prononce : I. Les causes TD23.016891-240495 et TD23.016891-240497 découlant des appels déposés par A.B.________, d’une part, et par B.B.________, d’autre part, – sont jointes. II. L’appel de A.B.________ est très partiellement admis. III. L’appel de B.B.________ est rejeté. IV. L’ordonnance de mesures provisionnelles est réformée en son chiffre VII comme il suit : VII. attire formellement l’attention de B.B.________ sur le fait qu’à compter du 1er septembre 2025 un revenu hypothétique correspondant à une activité lucrative à 50 % pourra lui être imputé. L’ordonnance est confirmée pour le surplus.</w:t>
      </w:r>
    </w:p>
    <w:p>
      <w:r>
        <w:t>- 20 - V. Les frais judiciaires de deuxième instance, arrêtés à 1’200 fr. (mille deux cents francs), sont mis à la charge de l'appelante B.B.________, par 600 fr. (six cents francs) et de l’appelant A.B.________ par 600 fr. (six cents francs). VI. Les dépens de deuxième instance sont compensés. VII. L’arrêt est exécutoire. Le juge unique : La greffière : Du Le présent arrêt, dont la rédaction a été approuvée à huis clos, est notifié à : - Me François Roux (pour A.B.________), - Me Astyanax Peca (pour B.B.________), et communiqué, par l'envoi de photocopies, à : - Madame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- 21 -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