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TD23.014549 vom 31. August 2023</w:t>
      </w:r>
    </w:p>
    <w:p>
      <w:r>
        <w:t>VD Tribunal cantonal, 2023-08-31, FR</w:t>
      </w:r>
    </w:p>
    <w:p>
      <w:r>
        <w:rPr>
          <w:b/>
        </w:rPr>
        <w:t xml:space="preserve">Quelle: </w:t>
      </w:r>
      <w:r>
        <w:t>https://mcp.opencaselaw.ch/entscheid/vd_gerichte_TD23.014549</w:t>
      </w:r>
    </w:p>
    <w:p>
      <w:r>
        <w:t>FR: VD_GERICHTE TD23.014549 du 31 août 2023</w:t>
      </w:r>
    </w:p>
    <w:p>
      <w:r>
        <w:t>IT: VD_GERICHTE TD23.014549 del 31 agosto 2023</w:t>
      </w:r>
    </w:p>
    <w:p>
      <w:pPr>
        <w:pStyle w:val="Heading2"/>
      </w:pPr>
      <w:r>
        <w:t>Erwägungen</w:t>
      </w:r>
    </w:p>
    <w:p>
      <w:r>
        <w:rPr>
          <w:b/>
        </w:rPr>
        <w:t>E. 2</w:t>
      </w:r>
    </w:p>
    <w:p>
      <w:r>
        <w:t>; TF 5A_117/2015 du 5 novembre 2015 consid. 2.4.2 ; Hafner in Basler Kommentar ZPO, 3e éd., 2017, n. 7h ad art. 168 CPC). Cette pièce est dès lors irrecevable.</w:t>
      </w:r>
    </w:p>
    <w:p>
      <w:r>
        <w:rPr>
          <w:b/>
        </w:rPr>
        <w:t>E. 3.1</w:t>
      </w:r>
    </w:p>
    <w:p>
      <w:r>
        <w:t>L’appelante revient sur la situation de garde qui prévalait depuis le jugement de divorce. Elle rappelle en particulier que les modalités de la garde alternée mise en place ont été prévues pour tenir compte de ses horaires de travail irréguliers dans son ancienne activité d'ambulancière à 100%. Elle s'occupait ainsi de l'enfant durant à peu près la moitié du temps, alors que du côté paternel, l'enfant était parfois gardé par une maman de jour, ce qui fait que le père ne le prenait en charge personnellement que pendant 26% du temps, en référence à la pièce 5 de son bordereau de pièces du 3 avril 2023, soit le planning de garde alternée qu’elle a établi pour 2022. Elle soutient qu'elle était donc jusqu'à présent la personne de référence de l'enfant, contrairement au père. Cela vaut selon elle d'autant plus depuis le mois de mars et la nouvelle situation professionnelle qui prévaut depuis lors : elle a désormais davantage de latitude pour s'organiser et peut même télétravailler un jour par semaine. En revanche, elle estime que la situation professionnelle de l'intimé nécessite une organisation particulière, en raison de ses horaires professionnels qui sont difficilement compatibles non seulement avec la prise en charge personnelle, mais aussi avec les horaires des structures d'accueil. D’après elle, cela démontre également la prise en charge prépondérante de l'appelante qui a établi la relation principale avec l'enfant : c'est donc à tort que le premier juge est parti d'une prise en charge équivalente.</w:t>
      </w:r>
    </w:p>
    <w:p>
      <w:r>
        <w:t>- 10 -</w:t>
      </w:r>
    </w:p>
    <w:p>
      <w:r>
        <w:rPr>
          <w:b/>
        </w:rPr>
        <w:t>E. 3.2.1</w:t>
      </w:r>
    </w:p>
    <w:p>
      <w:r>
        <w:t>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5A_641/2015 du 3 mars 2016 consid. 4.1 ; ATF 118 II 228 consid. 3b ; ATF 89 II 12 ; TF 5A_732/2012 du 4 décembre 2012 consid. 3.2 ; TF 5P.323/2005 du 18 janvier 2006 consid. 4.4).</w:t>
      </w:r>
    </w:p>
    <w:p>
      <w:r>
        <w:rPr>
          <w:b/>
        </w:rPr>
        <w:t>E. 3.2.2</w:t>
      </w:r>
    </w:p>
    <w:p>
      <w:r>
        <w:t>La garde de fait – qui se traduit par l’encadrement quotidien de l’enfant et par l’exercice des droits et des devoirs liés aux soins et à l’éducation courante (ATF 147 III 121 consid. 3.2.2) – et le droit de déterminer le lieu de résidence de l’enfant sont des composantes de l'autorité parentale (art. 301a CC ; TF 5A_46/2015 du 26 mai 2015 consid. 4.4.4).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lorsque le déménagement a des conséquences importantes pour l’exercice de l’autorité parentale par l’autre parent et pour les relations personnelles (art. 301a al. 2 let. a et b CC). L’exigence d’une autorisation ne concerne toutefois que le changement de lieu de résidence de l’enfant (cf. art. 301a al. 2 CC), non celui des parents. L’autorité parentale conjointe ne doit pas priver de facto les parents de leur liberté d'établissement (art. 24 Cst. [Constitution fédérale de la Confédération suisse du 18 avril 1999 ; RS 101]) en les empêchant de déménager (ATF 142 III 481 consid. 2.6 ; TF 5A_916/2019 du 12 mars 2020 consid. 3.1 et réf. cit., publié in SJ 2020 I 375). S'agissant de l'autorisation de déplacer le lieu de résidence d'un enfant, le modèle de prise en charge préexistant constitue, sous</w:t>
      </w:r>
    </w:p>
    <w:p>
      <w:r>
        <w:t>- 11 -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(ATF 144 III 469 consid. 4.1;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481 consid. 2.7 et réf. cit., JdT 2016 III 427 ; ATF 142 III 502 consid. 2.5).</w:t>
      </w:r>
    </w:p>
    <w:p>
      <w:r>
        <w:rPr>
          <w:b/>
        </w:rPr>
        <w:t>E. 3.2.3</w:t>
      </w:r>
    </w:p>
    <w:p>
      <w:r>
        <w:t>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(TF 5A_415/2020 du 18 mars 2021 consid. 4.1 ; ATF 142 III 617 consid. 3.2.3-3.2.4 ; ATF 136 I 178 consid. 5.3 ; TF 5A_739/2020 du 22 janvier 2021 consid. 2.1; TF 5A_539/2020 du 17 août 2020 consid. 4.1.2 ; CACI 10 mars 2022/122 consid. 3.2.2). Hormis l'existence de capacités éducatives, qui est une prémisse nécessaire pour se voir attribuer la garde, les critères d'appréciation précités sont interdépendants et leur importance varie en</w:t>
      </w:r>
    </w:p>
    <w:p>
      <w:r>
        <w:t>- 12 - fonction du cas d'espèce (ATF 142 III 617 consid. 3.2.3 ; ATF 142 III 612 consid. 4.3 ; TF 5A_11/2020 du 13 mai 2020 consid. 3.3.3.1 ; TF 5A_534/2019 du 31 janvier 2020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précité consid. 3.2.3 ; TF 5A_200/2019 précité consid. 3.1.2 ; TF 5A_821/2019 du 14 juillet 2020 consid. 4.3). La possibilité pour chaque parent de s'occuper personnellement de l'enfant joue principalement un rôle lorsque l'enfant présente des besoins particuliers de prise en charge ou lorsque l'un des parents n'offre pas une disponibilité suffisante à des moments qui ne sont normalement pas consacrés à l'activité professionnelle (c'est-à-dire le matin, le soir et le week-end) ; dans les autres cas, il faut reconnaître l'équivalence des prestations en nature et en argent (TF 5A_345/2020 du 30 avril 2021 consid. 5.2). Le fait que l'un des parents puisse accomplir du télétravail à 100% et bénéficie d'une grande flexibilité dans l'aménagement de ses horaires ne signifie pas forcément qu'il n'aurait aucune contrainte liée à l'exercice et à l'organisation de son travail et qu'ainsi il pourrait davantage s'occuper personnellement de l'enfant qu’un autre parent qui exerce une activité professionnelle à 100 % hors de la maison : dans de telles circonstances, il n'est pas insoutenable de retenir que le critère de la disponibilité est neutre, dès lors que les parents travaillent les deux à plein temps (TF 5A_395/2022 du 14 février 2023, consid. 4.4.2.2).</w:t>
      </w:r>
    </w:p>
    <w:p>
      <w:r>
        <w:rPr>
          <w:b/>
        </w:rPr>
        <w:t>E. 3.3</w:t>
      </w:r>
    </w:p>
    <w:p>
      <w:r>
        <w:t>En l'espèce, il est exact que les horaires de travail de l'intimé sont particuliers, et qu'ils empiètent sur des moments qui ne sont normalement pas consacrés à l'activité professionnelle (c'est-à-dire le matin, alternativement le soir). L'ordonnance entreprise relève cependant que jusqu'à présent, la garde alternée mise en œuvre avait bien fonctionné et que les parents de Q.________, qui vivent chacun en</w:t>
      </w:r>
    </w:p>
    <w:p>
      <w:r>
        <w:t>- 13 - concubinage, doivent donc tous deux compter sur leur partenaire pour prendre en charge l'enfant lorsqu'ils ne peuvent pas le faire personnellement (page 6 de l’ordonnance entreprise, antépénultième paragraphe). L'appelante n’invoque aucun motif qui permettrait de douter que cette aide du partenaire, qui a été jugée adéquate jusqu'à maintenant, ne perdurerait pas. Il n'y a donc pas lieu de considérer que le système institué par l'ordonnance implique que l'enfant devrait être réveillé avant 5 heures du matin pour être déposé en structure d'accueil, comme le soutient l'appelante. En outre, les semaines où l'intimé commence son travail tôt le matin, sa disponibilité pour l'enfant le soir s'en trouve augmentée, et inversement. D'une manière générale, il n'y a donc pas lieu de considérer que l'intimé est moins disponible que l'appelante, en raison de sa charge de travail, qu'on ne peut pas lui reprocher au vu du principe de l'équivalence des prestations en nature et en argent. Finalement, le télétravail invoqué par l'appelante ne justifie pas d'en déduire une disponibilité supérieure, au vu de la jurisprudence citée ci-dessus. Il faut donc en conclure que c'est à juste titre que le premier juge est parti du constat que c'est une prise en charge équivalente, sous l'angle du droit, qui prévalait au moment où il a rendu son ordonnance.</w:t>
      </w:r>
    </w:p>
    <w:p>
      <w:r>
        <w:rPr>
          <w:b/>
        </w:rPr>
        <w:t>E. 4.1</w:t>
      </w:r>
    </w:p>
    <w:p>
      <w:r>
        <w:t>Dans un second grief, l’appelante reprend à peu près les mêmes arguments que ceux développés au considérant 3 qui précède, savoir notamment que ses horaires lui permettraient de maintenir une prise en charge personnelle de Q.________ tandis que l’intimé serait contraint de confier la garde de son fils à un tiers. Elle réitère que son travail lui permet une grande flexibilité, y compris la possibilité de télétravailler et d’être présente au lever et au coucher de son fils.</w:t>
      </w:r>
    </w:p>
    <w:p>
      <w:r>
        <w:rPr>
          <w:b/>
        </w:rPr>
        <w:t>E. 4.2</w:t>
      </w:r>
    </w:p>
    <w:p>
      <w:r>
        <w:t>L'argumentation de l’appelante étant plus ou moins identique à celle du grief précédent, la réponse doit être, mutatis mutandis, la même, si bien qu’il convient de rappeler qu’il ne se justifie aucunement de considérer que l’intimé est moins disponible que l’appelante. Le critère de</w:t>
      </w:r>
    </w:p>
    <w:p>
      <w:r>
        <w:t>- 14 - la disponibilité étant neutre à cet égard, l’appelante ne peut pas en tirer argument pour le futur de la prise en charge.</w:t>
      </w:r>
    </w:p>
    <w:p>
      <w:r>
        <w:rPr>
          <w:b/>
        </w:rPr>
        <w:t>E. 5.1</w:t>
      </w:r>
    </w:p>
    <w:p>
      <w:r>
        <w:t>L'appelante invoque finalement que le déménagement de Q.________ ne serait pas contraire à ses intérêts, puisqu'il n'est pas encore scolarisé et qu'il ne serait donc pas déraciné. Selon elle, le premier juge n’a pas examiné les critères requis par la jurisprudence mais s’est bonré en réalité à sanctionner le parent qui veut déménager, ce que la jurisprudence proscrit précisément. Or l'appelante avait de bonnes raisons de déménager, savoir acquérir un bien immobilier et créer un cadre familial propice à l'épanouissement de l'enfant qui aurait sa propre chambre. Elle invoque en outre que l’enfant se montre réticent à aller chez son père. L’appelante assure qu’elle n'a pas pour but d'éloigner l'enfant de l'intimé. Enfin, elle estime que le juge aurait dû investiguer sur la mise en danger de l'enfant, en raison de la maltraitance de la part du père alléguée par la mère, et qu’il existe un doute important sur les capacités éducatives du père. Il serait donc dans l'intérêt de l'enfant de rester auprès de son parent de référence, plutôt que d’être confié à un parent potentiellement maltraitant.</w:t>
      </w:r>
    </w:p>
    <w:p>
      <w:r>
        <w:rPr>
          <w:b/>
        </w:rPr>
        <w:t>E. 5.2</w:t>
      </w:r>
    </w:p>
    <w:p>
      <w:r>
        <w:t>Le premier juge, aux pages 5 à 7 de l’ordonnance entreprise, a successivement examiné les capacités parentales des parties, la possibilité pour chacune de s’occuper personnellement de l’enfant, la stabilité des relations et l’environnement social de l’enfant. Il a retenu que les deux parents semblaient disposer de capacités parentales adéquates, que rien ne permettait d’établir que l’appelante serait plus disponible que l’intimé pour s’occuper personnellement de l’enfant, que ni les parents ni le psychiatre consulté en 2022 n’avait signalé de difficultés en lien avec la prise en charge alternée mise en place depuis plus de deux ans par les parents si bien que la stabilité de l’enfant ne paraissait pas mise en péril. Ce faisant, contrairement à ce que plaide l’appelante, le président a bien examiné les différents critères énumérés par la jurisprudence.</w:t>
      </w:r>
    </w:p>
    <w:p>
      <w:r>
        <w:t>- 15 - Au demeurant, l’appréciation du premier juge doit être confirmée dès lors que la garde partagée a fonctionné à satisfaction jusqu'à maintenant et que la requête de mesures provisionnelles n'a pas été déposée pour défaut de capacités éducatives du père, mais en raison du souhait de la mère de déménager. En ce qui concerne la maltraitance, celle-ci a été largement mentionnée et examinée. Le premier juge a évoqué la « petite fessée » et s'est prononcé adéquatement sur la coïncidence temporelle entre l'allégation de maltraitance, jamais formulée auparavant, et l'audience de mesures provisionnelles requises pour un autre motif et tendant à la garde exclusive en faveur de l'appelante. Les remarques du premier juge sont adéquates. Une telle coïncidence interpelle. En outre, le premier juge n'a pas refusé d'investiguer, puisqu'il a au contraire estimé que les allégations de l'appelante justifiaient la saisine de l’UEMS. La démarche est là aussi adéquate. Procédant à l'appréciation de l'ensemble des circonstances, le premier juge en a tiré la conclusion que les allégations de l'appelante ne suffisaient pas, dans ce contexte, à mettre en cause les capacités éducatives de l'intimée. Cette appréciation peut être suivie. Finalement, l'ordonnance entreprise n'indique pas, contrairement à ce que plaide l'appelante, que le premier juge a motivé sa décision par la volonté de sanctionner la mère, ce que la jurisprudence proscrit effectivement. Le premier juge a uniquement constaté, factuellement, que l'appelante plaçait sa volonté de s'établir à un endroit trop éloigné pour permettre la poursuite de la garde alternée au-dessus de toute autre considération. On ne peut en effet que souscrire à l'appréciation selon laquelle l'appelante a décidé « unilatéralement et par convenance personnelle » (page 7 de l’ordonnance entreprise) de déplacer à brève échéance le lieu de vie excluant le maintien de la garde alternée, qui avait pourtant, au moment du divorce été jugée la plus conforme aux intérêts de l'enfant par les deux parents. Il est également correct de constater que l'appelante tente désormais de tirer profit, pour son propre intérêt et non celui de l'enfant, « d'une situation d'urgence qu'elle a elle-même créée » (page 7 de l’ordonnance), alors que selon la jurisprudence, dans le cadre d'une procédure en modification de jugement</w:t>
      </w:r>
    </w:p>
    <w:p>
      <w:r>
        <w:t>- 16 - de divorce, des mesures provisionnelles ne peuvent être accueillies que restrictivement, en cas d'urgence et en présence de circonstances particulières qu'on ne constate pas dans le cas présent.</w:t>
      </w:r>
    </w:p>
    <w:p>
      <w:r>
        <w:rPr>
          <w:b/>
        </w:rPr>
        <w:t>E. 6.1</w:t>
      </w:r>
    </w:p>
    <w:p>
      <w:r>
        <w:t>En définitive, l’appel se révèle manifestement infondé et doit être rejeté en application de l’art. 312 al. 1 in fine CPC, l’ordonnance entreprise étant confirmée.</w:t>
      </w:r>
    </w:p>
    <w:p>
      <w:r>
        <w:rPr>
          <w:b/>
        </w:rPr>
        <w:t>E. 6.2</w:t>
      </w:r>
    </w:p>
    <w:p>
      <w:r>
        <w:t>Les frais judiciaires de deuxième instance, arrêtés à 600 fr. (art. 65 al. 2 TFJC [tarif des frais judiciaires civils du 28 septembre 2010 ; BLV 270.11.5]), seront mis à la charge de l’appelante, qui succombe (art. 106 al. 1 CPC). Il n’y a pas lieu à l’allocation de dépens, l’intimé n’ayant pas été invité à se déterminer. Par ces motifs, le Juge unique de la Cour d’appel civile prononce : I. L’appel est rejeté. II. L’ordonnance est confirmée. III. Les frais judiciaires de deuxième instance, arrêtés à 600 fr. (six cents francs), sont mis à la charge de l’appelante A.V.________. IV. L’arrêt est exécutoire.</w:t>
      </w:r>
    </w:p>
    <w:p>
      <w:r>
        <w:t>- 17 - Le juge unique : Le greffier : Du Le présent arrêt, dont la rédaction a été approuvée à huis clos, est notifié en expédition complète à : - Me Laurent Schuler (pour A.V.________), - Me Olivier Seidler (pour B.V.________),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