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TD22.050272 vom 23. Mai 2024</w:t>
      </w:r>
    </w:p>
    <w:p>
      <w:r>
        <w:t>VD Tribunal cantonal, 2024-05-23, FR</w:t>
      </w:r>
    </w:p>
    <w:p>
      <w:r>
        <w:rPr>
          <w:b/>
        </w:rPr>
        <w:t xml:space="preserve">Quelle: </w:t>
      </w:r>
      <w:r>
        <w:t>https://mcp.opencaselaw.ch/entscheid/vd_gerichte_TD22.050272</w:t>
      </w:r>
    </w:p>
    <w:p>
      <w:r>
        <w:t>FR: VD_GERICHTE TD22.050272 du 23 mai 2024</w:t>
      </w:r>
    </w:p>
    <w:p>
      <w:r>
        <w:t>IT: VD_GERICHTE TD22.050272 del 23 maggio 2024</w:t>
      </w:r>
    </w:p>
    <w:p>
      <w:pPr>
        <w:pStyle w:val="Heading2"/>
      </w:pPr>
      <w:r>
        <w:t>Erwägungen</w:t>
      </w:r>
    </w:p>
    <w:p>
      <w:r>
        <w:rPr>
          <w:b/>
        </w:rPr>
        <w:t>E. 3</w:t>
      </w:r>
    </w:p>
    <w:p>
      <w:r>
        <w:t>- 14 -</w:t>
      </w:r>
    </w:p>
    <w:p>
      <w:r>
        <w:rPr>
          <w:b/>
        </w:rPr>
        <w:t>E. 3.1</w:t>
      </w:r>
    </w:p>
    <w:p>
      <w:r>
        <w:t>L’appelante conteste le placement de son fils B.G.________ – et, partant, le retrait du droit de déterminer le lieu de résidence de l’enfant prononcé à l'égard des parents. Son argumentation tient en deux volets. Elle fait premièrement valoir que son état de santé ne serait pas aussi préoccupant que la présidente l’a retenu ; sa santé serait même « aujourd'hui parfaitement stable » (appel, pp. 3-4, let. b). Il serait ainsi ressorti du réseau du 25 octobre 2023 que si l’appelante avait parfois déplacé des rendez-vous ou avait pu se montrer réticente à leur tenue, elle les honorait de manière générale et n’était pas totalement réfractaire aux soins. Invoquant la pièce nouvelle produite en deuxième instance, l’appelante soutient que les participants au réseau auraient relevé qu’un service de soins à domicile se déplaçait quotidiennement chez elle, les aides à domicile ayant pu constater qu’elle évoluait dans un appartement très propre et qu’elle s’occupait adéquatement de son fils, notamment en lui préparant à manger. Ce serait donc à tort que la présidente a retenu que la santé psychique de l’appelante se péjorait, qu’elle ne collaborait pas à son suivi et qu’elle souffrait donc d’une psychopathologie non traitée. En second lieu, l’appelante soutient que le placement de B.G.________ ne serait pas opportun. A l’appui de cet argument, elle expose que les précédents placements de son fils auraient été mis en échec. L’appelante souligne en outre que son fils bénéficie déjà d’une curatelle et d’un suivi actif par la DGEJ, ce qui suffirait à assurer une prise en charge adéquate de l’enfant. Force serait ainsi de constater que des mesures moins incisives que le placement permettraient de sauvegarder les intérêts de son fils. En l’absence de danger immédiat pour B.G.________, sa garde devrait être confiée à l’appelante.</w:t>
      </w:r>
    </w:p>
    <w:p>
      <w:r>
        <w:rPr>
          <w:b/>
        </w:rPr>
        <w:t>E. 3.2</w:t>
      </w:r>
    </w:p>
    <w:p>
      <w:r>
        <w:t>L’art. 310 al. 1 CC – applicable par renvoi de l’art. 176 al. 3 CC (art. 276 al. 1 CPC) – prévoit que l’enfant est retiré aux père et mère ou aux tiers chez qui il se trouve et placé de façon appropriée, lorsqu’il ne peut être évité autrement que son développement soit compromis. Cette mesure de protection a pour effet que le droit de déterminer le lieu de résidence de l’enfant est retiré aux parents et attribué à l’autorité de protection, qui devient responsable de son encadrement (TF 5A_402/2016 du 16 janvier 2017 consid. 3).</w:t>
      </w:r>
    </w:p>
    <w:p>
      <w:r>
        <w:t>- 15 -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5A_371/2019 du 24 juillet 2019 consid. 2.2). Sont décisives les circonstances au moment du retrait (TF 5A_463/2013 du 26 septembre 2013 consid. 6.2). Une telle mesure n’est légitime que s’il n'est pas possible de prévenir le danger par les mesures moins énergiques prévues aux art. 307 et 308 CC, en application des principes de proportionnalité et de subsidiarité (TF 5A_293/2019 du 29 août 2019 consid. 5.2 ; TF 5A_15/2017 du 12 mai 2017 consid. 3.1 ; TF 5A_402/2016 du 16 janvier 2017 consid. 3).</w:t>
      </w:r>
    </w:p>
    <w:p>
      <w:r>
        <w:rPr>
          <w:b/>
        </w:rPr>
        <w:t>E. 3.3.1</w:t>
      </w:r>
    </w:p>
    <w:p>
      <w:r>
        <w:t>La présidente a constaté que malgré les nombreuses tentatives et mesures mises en place pour soutenir la famille depuis 2021, la situation de B.G.________ demeurait préoccupante, l’enfant évoluant dans un contexte familial complexe, conjugué à des difficultés scolaires, sociales et psychiques exigeant un accompagnement intensif, ainsi qu’aux problèmes de santé de sa mère, lesquelles impactaient significativement les capacités parentales de l’intéressée. L’intimé avait certes provisoirement assumé l’essentiel de l’éducation et de l’entretien de son fils, collaborant de manière adéquate avec la DGEJ notamment ; cela étant, depuis la dernière sortie d’hôpital de l’appelante, l’enfant vivait majoritairement au domicile de sa mère, où il était confronté à sa pathologie psychiatrique, ce que le père n’était pas en mesure d’empêcher. La présidente a également relevé que l’appelante ne collaborait plus à son suivi ambulatoire et qu’elle avait mis un terme aux différentes prises en charge de son fils. Il ressortait du dossier que</w:t>
      </w:r>
    </w:p>
    <w:p>
      <w:r>
        <w:t>- 16 - l’appelante n’était pas capable de collaborer de façon satisfaisante avec les professionnels entourant B.G.________, ce en raison d’une pathologie dont elle ne reconnaissait pas souffrir. Si les précédents placements provisoires de l’enfant, très mal vécus par celui-ci, s’étaient soldés par des échecs, notamment dus à l’absence d’acceptation de la mesure par la mère, seul un nouveau placement en foyer de B.G.________ apparaissait apte à assurer sa stabilité et sa prise en charge adéquate, ainsi qu’à le sortir de l’environnement délétère à son développement dans lequel il évoluait auprès de sa mère. La pathologie psychique non traitée et les décompensations récurrentes de l’appelante étaient en effet manifestement préjudiciables à l’enfant et ni son père ni son demi-frère ou sa sœur ne parvenaient à l’en préserver. Partant, le droit de déterminer le lieu de résidence de B.G.________ devait être provisoirement retiré à ses parents, un mandat provisoire de garde et de placement dans un foyer adapté à la situation de l’enfant étant confié à la DGEJ.</w:t>
      </w:r>
    </w:p>
    <w:p>
      <w:r>
        <w:rPr>
          <w:b/>
        </w:rPr>
        <w:t>E. 3.3.2</w:t>
      </w:r>
    </w:p>
    <w:p>
      <w:r>
        <w:t>Dans son premier moyen, l’appelante ne prend pas réellement position sur la motivation de la présidente, rappelée ci-dessus. Elle se limite en réalité à se prévaloir du courriel du 25 octobre 2023 d’[...] (pièce n° 3 produite à l’appui de l’appel), pour en déduire que son état de santé et sa capacité à encadrer B.G.________ sont bons. Sur ce point, la recevabilité de l’appel est donc discutable (cf. supra consid. 1.1.2). Quoi qu’il en soit, le grief doit de toute manière être rejeté, comme on le verra ci-après. Tout d’abord, la pièce invoquée par l’appelante ne prend pas position sur les éléments de fait constatés dans la décision entreprise et repris ci-dessus. Elle ne constitue en outre qu’un simple « retour rapide » du réseau, et non un bilan, dont il est du reste indiqué qu’il sera établi ultérieurement, mais par un autre intervenant que la signataire de la pièce n° 3. De plus, la pièce en question confirme la tendance de l’appelante à refuser ou essayer de repousser certains rendez-vous de soins, ce qui est précisément constaté dans l’ordonnance. Qu’il ne s’agisse pas d’un « refus total de soins » ne suffit pas à mettre en doute les constatations de la présidente. Ensuite, le fait que le logement de l’appelante ne soit de loin</w:t>
      </w:r>
    </w:p>
    <w:p>
      <w:r>
        <w:t>- 17 - pas insalubre ou que l’appelante prépare des repas pour son fils, s’ils sont certes positifs, n’ont pas été niés dans l’ordonnance attaquée et ne sauraient donc mettre à mal, à eux seuls, le raisonnement de la présidente. Pour le reste, la motivation de l’ordonnance est sur ce point conforme aux éléments du dossier, la présidente ayant suivi les préoccupations du médecin de l’enfant (cf. supra let. C/8/f), les constatations pertinentes de la curatrice de représentation de l’enfant et un récent bilan socio-éducatif de la DGEJ (cf. supra let. C/8/h), que l’appelante ne met pas en cause. Dans ces circonstances, le raisonnement de la présidente doit être suivi et le grief, pour autant que recevable, doit être rejeté.</w:t>
      </w:r>
    </w:p>
    <w:p>
      <w:r>
        <w:rPr>
          <w:b/>
        </w:rPr>
        <w:t>E. 3.3.3</w:t>
      </w:r>
    </w:p>
    <w:p>
      <w:r>
        <w:t>En ce qui concerne le second argument de l’appelante, celle-ci ne peut pas être suivie lorsqu’elle invoque l’échec des précédentes mesures de placement de l’enfant pour contester l’opportunité du placement ordonné. D’abord, la présidente n’a pas méconnu les échecs des mesures, mais les a au contraire rappelés, précisant que les recherches de foyer devraient s’orienter vers une structure géographiquement éloignée du domicile de la mère, afin que l’enfant ne puisse pas retourner chez elle, ce qui constitue effectivement une mesure adéquate afin de tenter de réduire le risque d’échec pour les mêmes motifs que ceux observés pas le passé. Par ailleurs, l’argument est impropre à mettre en doute les menaces qui pèsent actuellement sur le développement de B.G.________ et la nécessité d’un retrait de la garde. En tant qu’elle souligne que son fils bénéficie déjà d’une curatelle et d’un suivi actif de la situation par la DGEJ, l’appelante perd encore de vue que ces faits n'ont pas été ignorés par la présidente. C’est au contraire l’appelante qui se garde de mentionner que le placement de B.G.________ a été ordonné sur la base des opinions convergentes des intervenants dont elle se prévaut, chacun d’entre eux (médecin de l’enfant, DGEJ et curatrice de représentation) constatant à l’unisson que la situation est d’une part inquiétante pour le développement de l’enfant et que des mesures moins incisives qu’un placement ne suffiraient pas à préserver</w:t>
      </w:r>
    </w:p>
    <w:p>
      <w:r>
        <w:t>- 18 - son bien-être. Du reste, l’appelante ne discute pas réellement de cet argument, se limitant à soutenir que la situation actuelle serait satisfaisante, ce qui ne correspond pas aux éléments qui ressortent du dossier et sur lesquels la présidente s’est valablement fondée. Partant, ce second moyen doit également être rejeté.</w:t>
      </w:r>
    </w:p>
    <w:p>
      <w:r>
        <w:rPr>
          <w:b/>
        </w:rPr>
        <w:t>E. 3.3.4</w:t>
      </w:r>
    </w:p>
    <w:p>
      <w:r>
        <w:t>Pour le reste et au regard du dossier, la nécessité du placement apparaît avérée et le principe de la proportionnalité respecté, le maintien de la situation de fait actuelle étant, selon l’avis unanime des intervenants, préjudiciable aux intérêts de l’enfant. S’ensuit le rejet de l’appel.</w:t>
      </w:r>
    </w:p>
    <w:p>
      <w:r>
        <w:rPr>
          <w:b/>
        </w:rPr>
        <w:t>E. 4.1</w:t>
      </w:r>
    </w:p>
    <w:p>
      <w:r>
        <w:t>L’appel, manifestement infondé, est rejeté, dans la mesure de sa recevabilité, en application de l’art. 312 al. 1 in fine CPC, et l’ordonnance confirmée.</w:t>
      </w:r>
    </w:p>
    <w:p>
      <w:r>
        <w:rPr>
          <w:b/>
        </w:rPr>
        <w:t>E. 4.2</w:t>
      </w:r>
    </w:p>
    <w:p>
      <w:r>
        <w:t>Les frais judiciaires de deuxième instance, arrêtés à 600 fr. (art. 65 al. 2 TFJC [tarif des frais judiciaires civils du 28 septembre 2010 ; BLV 270.11.5]), seront provisoirement laissés à la charge de l’Etat pour l’appelante, qui succombe (art. 106 al. 1 et 122 al. 1 let. b CPC). Il n’y a pas lieu à l’allocation de dépens de deuxième instance, aucune réponse n’ayant été sollicitée.</w:t>
      </w:r>
    </w:p>
    <w:p>
      <w:r>
        <w:rPr>
          <w:b/>
        </w:rPr>
        <w:t>E. 4.3.1</w:t>
      </w:r>
    </w:p>
    <w:p>
      <w:r>
        <w:t>Le conseil d’office a droit au remboursement de ses débours et à un défraiement équitable,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w:t>
      </w:r>
    </w:p>
    <w:p>
      <w:r>
        <w:t>- 19 -</w:t>
      </w:r>
    </w:p>
    <w:p>
      <w:r>
        <w:rPr>
          <w:b/>
        </w:rPr>
        <w:t>E. 4.3.2</w:t>
      </w:r>
    </w:p>
    <w:p>
      <w:r>
        <w:t>En l’occurrence, Me Kilchenmann indique avoir consacré 4 heures et 10 minutes au dossier. Les heures annoncées peuvent être admises. Il s’ensuit que l’indemnité de Me Kilchenmann doit être arrêtée à 824 fr. 90, arrondis à 825 fr., soit 750 fr. d’honoraires (180 fr. x 4 h 10), auxquels s’ajoutent les débours par 15 fr. (2 % de 750 fr. [art. 3bis al. 1 RAJ]) et la TVA (art. 2 al. 3 RAJ) à 7,7 % sur les opérations effectuées en 2023 (représentant 2 heures et 50 minutes), respectivement à 8,1 % sur les opérations de 2024 (représentant 1 heure et 20 minutes) et les débours, par 59 fr. 90 au total.</w:t>
      </w:r>
    </w:p>
    <w:p>
      <w:r>
        <w:rPr>
          <w:b/>
        </w:rPr>
        <w:t>E. 4.4</w:t>
      </w:r>
    </w:p>
    <w:p>
      <w:r>
        <w:t>La bénéficiaire de l’assistance judiciaire est tenue au remboursement des frais judiciaires de deuxième instance et de l’indemnité allouée à son conseil d’office, provisoirement laissés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dans la mesure où il est recevable. II. L’ordonnance est confirmée. III. Les frais judiciaires de deuxième instance, arrêtés 600 à fr. (six cents francs), sont provisoirement laissés à la charge de l’Etat pour l’appelante O.________.</w:t>
      </w:r>
    </w:p>
    <w:p>
      <w:r>
        <w:t>- 20 - IV. L’indemnité de Me Marina Kilchenmann, conseil d’office de l’appelante O.________, est arrêtée à 825 fr. (huit cent vingt-cinq francs), débours et TVA compris. V. La bénéficiaire de l’assistance judiciaire remboursera les frais judiciaires de deuxième instance et l’indemnité allouée à son conseil d’office, provisoirement laissés à la charge de l’Etat, dès qu’elle sera en mesure de le faire. VI. L’arrêt est exécutoire Le juge unique : La greffière : Du Le présent arrêt, dont la rédaction a été approuvée à huis clos, est notifié en expédition complète à : - Me Marina Kilchenmann (pour O.________), - Me Marie-Alice Noël (pour A.G.________), - Me Sarah Meyer (pour B.G.________), - DGEJ, ORPM Couronne et Gros-de-Vaud, par [...], et communiqué, par l’envoi de photocopies, à : - Mme la Présidente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w:t>
      </w:r>
    </w:p>
    <w:p>
      <w:r>
        <w:t>- 21 -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