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TD22.050194 vom 17. Mai 2024</w:t>
      </w:r>
    </w:p>
    <w:p>
      <w:r>
        <w:t>VD Tribunal cantonal, 2024-05-17, FR</w:t>
      </w:r>
    </w:p>
    <w:p>
      <w:r>
        <w:rPr>
          <w:b/>
        </w:rPr>
        <w:t xml:space="preserve">Quelle: </w:t>
      </w:r>
      <w:r>
        <w:t>https://mcp.opencaselaw.ch/entscheid/vd_gerichte_TD22.050194</w:t>
      </w:r>
    </w:p>
    <w:p>
      <w:r>
        <w:t>FR: VD_GERICHTE TD22.050194 du 17 mai 2024</w:t>
      </w:r>
    </w:p>
    <w:p>
      <w:r>
        <w:t>IT: VD_GERICHTE TD22.050194 del 17 maggio 2024</w:t>
      </w:r>
    </w:p>
    <w:p>
      <w:pPr>
        <w:pStyle w:val="Heading2"/>
      </w:pPr>
      <w:r>
        <w:t>Erwägungen</w:t>
      </w:r>
    </w:p>
    <w:p>
      <w:r>
        <w:rPr>
          <w:b/>
        </w:rPr>
        <w:t>E. 4</w:t>
      </w:r>
    </w:p>
    <w:p>
      <w:r>
        <w:t>a) Par requête de mesures superprovisionnelles et provisionnelles du 28 juillet 2023, l’appelante a conclu, avec suite de frais et dépens, tant à titre superprovisionnel que provisionnel, à la suspension de la garde de l’intimé sur leurs enfants D.________ et E.________ jusqu’à droit connu sur l’évaluation de I’UEMS (I), à ce que la garde exclusive sur les enfants lui soit attribuée (II) et à ce qu’un mandat d’évaluation soit confié à I’UEMS afin de faire toute proposition quant à la sauvegarde des intérêts des enfants (III). En substance, l’appelante a allégué que l’intimé avait pris deux photographies de D.________ nu et qu’il les avait envoyées à son fils par messagerie instantanée. A l’appui de cette allégation, elle a produit les photographies du téléphone de D.________ montrant ces deux images. De plus, elle a soutenu qu’E.________ lui avait rapporté que leur père dormait jusqu’à récemment dans le même lit que D.________ et qu’elle avait l’interdiction de rentrer dans la chambre mais que désormais, c’était elle qui dormait avec son père dans le même lit. L’appelante a ainsi expliqué que ces éléments suscitaient en elle des doutes quant à d’éventuelles atteintes à l’intégrité sexuelle des enfants et à leur bon développement.</w:t>
      </w:r>
    </w:p>
    <w:p>
      <w:r>
        <w:t>- 14 - b) Par déterminations du même jour, l’intimé a conclu au rejet de la requête précitée. Il a contesté les allégations formulées par l’appelante et a expliqué que la première photographie avait été prise en été à l’occasion d’une fête de famille dans le jardin alors que la seconde avait été réalisée durant leurs vacances au [...]. c) Par ordonnance du même jour, soit du 28 juillet 2023, la présidente a rejeté la requête de mesures superprovisionnelles de l’appelante. d) Le 16 août 2023, l’appelante a déposé une réponse à la demande unilatérale tendant au divorce de l’intimé. e) Par courrier du 7 septembre 2023, l’intimé a déposé des déterminations complètes sur la requête de mesures provisionnelles du 28 juillet 2023 et a conclu, avec suite de frais et dépens, principalement à son rejet. Reconventionnellement, il a conclu à ce que les parties exercent une garde alternée sur les enfants D.________ et E.________ du vendredi après l’école au vendredi après l’école, une semaine sur deux en alternance (II), à ce qu’il soit dit que le contrat avec le Réseau d’Accueil des [...], actuellement en vigueur, soit maintenu, interdiction étant faite, pour chaque parent, de résilier ce contrat (III) et à ce que les parties soient enjointes à entreprendre un travail de coparentalité par le biais des Boréales ou par le biais de la Consultation Couple et Famille de [...] (IV). f) Lors de l’audience de mesures provisionnelles du 8 septembre 2023, la présidente a informé les parties d’entrée de cause que la requête formulée le 28 juillet 2023 par l’appelante était traitée comme une requête de mesures provisionnelles dans le dossier au fond, mais que, compte tenu de la connexité avec les conclusions prises à titre de modification de mesures protectrices de l’union conjugale et de l’incidence des faits nouveaux sur les questions litigieuses desdites mesures protectrices, il se justifiait de rouvrir l’instruction de ces dernières et de joindre les deux causes, lesquelles feraient l’objet d’une unique ordonnance de mesures provisionnelles sous la référence n° TD22.050194.</w:t>
      </w:r>
    </w:p>
    <w:p>
      <w:r>
        <w:t>- 15 - Le dossier de la cause de modification de mesures protectrices de l’union conjugale n° [...] a ainsi été intégralement versé au dossier de la cause de mesures provisionnelles. Les parties ont ensuite été entendues et l’appelante a réitéré ses conclusions tendant à la mise en œuvre d’une évaluation de la famille par l’UEMS. Après que la conciliation ait été vainement tentée, l’instruction a été close et les conseils des parties ont plaidé, chacune à deux reprises.</w:t>
      </w:r>
    </w:p>
    <w:p>
      <w:r>
        <w:rPr>
          <w:b/>
        </w:rPr>
        <w:t>E. 4.1</w:t>
      </w:r>
    </w:p>
    <w:p>
      <w:r>
        <w:t>Dans la partie de l’appel intitulée « moyens » (appel, pp. 21 et suivantes), l’appelante fait à nouveau valoir que la présidente aurait constaté les faits de manière inexacte, apprécié les preuves de manière arbitraire et violé le droit (appel, p. 22). Tous les moyens qui suivent relèvent toutefois du fait. A titre liminaire, il y a lieu de rappeler que les parties ont signé une convention le 12 novembre 2020, complétée par l’ajout d’un chiffre IIbis lors de l’audience de mesures protectrices de l’union conjugale du 8 janvier 2021 et ratifiée ainsi modifiée lors de cette même audience par la présidente pour valoir prononcé de mesures protectrices de l’union conjugales. Dans leur accord, les parties sont notamment convenues de l’instauration d’un régime de garde alternée sur leurs enfants D.________ et E.________, de la fixation du domicile légal de ceux-ci auprès de celui de leur mère et de leur prise en charge financière. L’appelante conclut ici à la modification de cette convention en ce sens que la garde exclusive des enfants lui soit confiée, qu’un droit de visite soit octroyé à l’intimé et que ce dernier soit condamné à verser une contribution d’entretien en faveur de D.________ et d’E.________.</w:t>
      </w:r>
    </w:p>
    <w:p>
      <w:r>
        <w:rPr>
          <w:b/>
        </w:rPr>
        <w:t>E. 4.1.1</w:t>
      </w:r>
    </w:p>
    <w:p>
      <w:r>
        <w:t>et les références). La procédure de modification n’a pas pour but de corriger le premier jugement, mais de l’adapter aux circonstances nouvelles (ATF 141 III 376 consid. 3.3.1, FamPra.ch 2016 p. 287). Le moment déterminant pour apprécier si des circonstances nouvelles se sont produites est la date du dépôt de la demande de modification (ATF 137 III 604 consid. 4.1.1, JdT 2012 II 403, FamPra.ch 2012 p. 228 ; ATF 131 III 189 consid. 2.7.4, JdT 2005 I 324, SJ 2005 I 442, FamPra.ch 2005 p. 377). Si un autre motif de modification survient après l’introduction de l’instance mais avant le début des délibérations sur le jugement – c’est-à- dire jusqu’au moment où de vrais nova peuvent être présentés (ATF 142 III 413 précité consid. 2.2.6) –, il peut et doit être invoqué dans la procédure en cours (cf. ATF 143 III 42 consid. 5.3 et les réf. citées, JdT 2017 II 342, SJ 2017 I 460, FamPra.ch 2017 317), pour autant toutefois que le caractère durable du changement soit intervenu avant cette limite temporelle (TF 5A_874/2019 du 22 juin 2020 consid. 4.3.1; cf. aussi TF 5A_436/2020 du 5 février 2021 consid. 5.4 ; sur le tout : TF 5A_253/2020 du 25 mars 2021 consid. 3.1.1).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w:t>
      </w:r>
    </w:p>
    <w:p>
      <w:r>
        <w:t>- 26 - Restent réservés des faits nouveaux, qui se situent clairement en dehors du spectre des développements futurs, qui apparaissaient possibles – même s’ils étaient incertains – pour les parties à la convention (ATF 142 III 518 consid. 2.6.1, FamPra.ch 2016 p. 731 ; TF 5A_66/2023 et 5A_71/2023 du 24 octobre 2023 consid. 8.2.3.2 ; Colombini, Code de procédure civile, Condensé de la jurisprudence fédérale et vaudoise, Lausanne 2018, n. 2.3.6.1 ad art. 276 CPC).</w:t>
      </w:r>
    </w:p>
    <w:p>
      <w:r>
        <w:rPr>
          <w:b/>
        </w:rPr>
        <w:t>E. 4.2.1</w:t>
      </w:r>
    </w:p>
    <w:p>
      <w:r>
        <w:t>Une fois que des mesures protectrices ont été ordonnées, elles ne peuvent être modifiées qu’aux conditions de l’art. 179 CC. Après l’introduction de l’action en divorce, les époux peuvent solliciter la modification de telles mesures si, depuis l’entrée en vigueur de celles-ci, les circonstances de fait ont changé d’une manière essentielle et durable, notamment en matière de revenus, à savoir si un changement significatif et non temporaire est survenu postérieurement à la date à laquelle la</w:t>
      </w:r>
    </w:p>
    <w:p>
      <w:r>
        <w:t>- 25 -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JdT 2020 II 190, FamPra.ch 2018 p. 516 ; TF 5A_611/2019 du 29 avril 2020 consid. 4.1 ; TF 5A_531/2019 du 30 janvier 2020 consid.</w:t>
      </w:r>
    </w:p>
    <w:p>
      <w:r>
        <w:rPr>
          <w:b/>
        </w:rPr>
        <w:t>E. 4.2.2</w:t>
      </w:r>
    </w:p>
    <w:p>
      <w:r>
        <w:t>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5A_597/2022 du 7 mars 2023 consid. 3.3 ; TF 5A_963/2021 du 1er septembre 2022 consid. 3.2.1 ; TF 5A_942/2021 du 17 août 2022 consid. 3.1 ; TF 5A_100/2021 du 25 août 2021 consid. 3.1 et les réf. citées).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5A_404/2023 du 13 juin 2023 consid. 2.1 ; TF 5A_230/2022 du 21 septembre 2022 consid. 2.1 ; TF 5A_742/2021 du 8 avril 2022 consid. 3.1 et les réf. citées ; sur le tout : TF 5A_499/2023 du 26 février 2024 consid. 4.1).</w:t>
      </w:r>
    </w:p>
    <w:p>
      <w:r>
        <w:rPr>
          <w:b/>
        </w:rPr>
        <w:t>E. 4.2.3</w:t>
      </w:r>
    </w:p>
    <w:p>
      <w:r>
        <w:t>Aux termes de l’art. 298 al. 2ter CC – qui s’applique aux parents mariés dans une procédure de divorce ou de protection de l’union conjugale (art. 298 al. 1 CC ; TF 5A_67/2021 du 31 août 2021 consid. 3.1.2) –, lorsque l’autorité parentale est exercée conjointement, le juge examine, selon le bien de l’enfant, la possibilité de la garde alternée, si le père, la mère ou l’enfant la demande.</w:t>
      </w:r>
    </w:p>
    <w:p>
      <w:r>
        <w:t>- 27 -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[cité ci-après : Message], n. 1.6.2 p. 545).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pères et mères et de l’existence d’un accord entre eux à cet égard, la question de la garde doit être appréciée au cas par cas, à l'aune du bien de l’enfant. Les critères développés par la jurisprudence à ce sujet demeurent applicables (TF 5A_794/2017 du 7 février 2018 consid. 3.1 et les réf. citées ; Büchler/Clausen, FamKommentar, Scheidung, Band I : ZGB, 3e éd., Berne 2017, n. 10 ad art. 298 CC ; Message, n. 1.6.2, p. 546 ss).</w:t>
      </w:r>
    </w:p>
    <w:p>
      <w:r>
        <w:rPr>
          <w:b/>
        </w:rPr>
        <w:t>E. 4.3</w:t>
      </w:r>
    </w:p>
    <w:p>
      <w:r>
        <w:t>Concernant précisément la question de la garde exclusive sur les enfants D.________ et E.________ requise par l’appelante, la présidente s’est penchée en premier lieu sur divers événements survenus en 2022 et 2023 relatés par l’appelante censés démontrer que l’intimé ne s’occupait pas personnellement des enfants, ne lui communiquait pas les informations relatives à ceux-ci, refusait de coopérer avec elle à leur sujet et mettait en danger leur sécurité et leur santé. A cet égard, la présidente a considéré qu’il ressortait des pièces au dossier et des explications de l’intimé que l’appelante relatait des faits relativement banals de la vie de D.________ et d’E.________, inhérents à leur vie de jeunes enfants et lors desquels ceux-ci n’avaient jamais été sérieusement mis en danger. Il</w:t>
      </w:r>
    </w:p>
    <w:p>
      <w:r>
        <w:t>- 28 - apparaissait manifeste que les parties n’avaient pas la même vision de la parentalité, par exemple vis-à-vis du seuil d’inquiétude en lien avec les maladies infantiles ou de ce qui était considéré comme un fait important à communiquer à l’autre parent. Même s’il pouvait s’avérer compréhensible que l’appelante souhaite avoir toutes les informations relatives à ses enfants, les communications de l’intimé, telles qu’elles ressortaient de la procédure, semblaient objectivement suffisantes au vu des situations concernées. La présidente a relevé, à l’attention de l’appelante, que ses attentes en matière de communication parentale allaient au-delà de ce qui était nécessaire pour assurer un exercice adéquat de la coparentalité. Ce qui consistait, selon l’appelante, en un défaut de communication était plutôt à mettre en lien avec son manque caractérisé de confiance en l’intimé. Cette méfiance avait par ailleurs amené l’appelante à surveiller les messages échangés entre l’intimé et son fils D.________ sur le téléphone de ce dernier, à géolocaliser le téléphone lorsque l’enfant se trouvait auprès de son père – surveillance qui n’avait en outre rien révélé d’inquiétant – et à engager des détectives privés pour surveiller l’intimé lorsqu’il était avec les enfants D.________ et E.________, ce qui n'apparaissait pas dans l’intérêt de ces derniers. Même le rapport des détectives privés engagés par l’appelante avait démontré que l’intimé s’occupait personnellement de ses enfants la majeure partie du temps durant lequel ils étaient auprès de lui. La présidente a rappelé à l’appelante que l’un des critères permettant de désigner le parent auquel la garde exclusive devait être confiée consistait en la capacité de favoriser les relations entre l’enfant et le parent non-gardien ; or, à la lecture du dossier de la cause, il y avait lieu d’en douter en ce qui la concernait. Le fait d’exacerber le conflit parental par la multiplication de griefs en tous genres à l’égard de l’autre parent, dans l’optique de mettre un terme à la garde alternée, ne semblait pas nécessairement aller dans le sens d’une attribution à l’appelante de la garde exclusive des enfants. La présidente a évoqué à cet effet le contenu de la requête de mesures superprovisionnelles et provisionnelles du 28 juillet 2023 dans laquelle l’appelante avait sous-entendu que l’intimé avait adopté un comportement inadéquat – sexuellement – avec les enfants, avant de revenir sur ses propos lors de l’audience du 8 septembre 2023 en indiquant qu’elle</w:t>
      </w:r>
    </w:p>
    <w:p>
      <w:r>
        <w:t>- 29 - n’avait en réalité pas de craintes quant à des comportements déplacés du père sur les enfants. Toujours lors de cette audience, l’appelante avait en revanche relevé que l’intimé ne percevait pas la gravité de la situation et le risque inconsidéré qu’il avait fait prendre à leur fils D.________ en faisant circuler sur des supports électroniques des photos de celui-ci nu qui auraient pu se retrouver en de mauvaises mains si son téléphone avait été piraté ou volé par exemple. La présidente a toutefois souligné qu’il s’agissait manifestement d’un cas isolé qui ne se reproduirait à l’évidence plus, l’intimé ayant pris conscience des conséquences potentielles d’une telle démarche. La présidente a jugé que cet évènement ne remettait toutefois pas en cause les compétences parentales du père. En définitive, l’instruction avait permis de démontrer que les parties avaient des capacités éducatives équivalentes, qu’ils se souciaient tous deux de la santé de leurs enfants et qu’ils étaient disponibles de manière sensiblement identique pour s’occuper d’eux, l’appelante et l’intimé ayant tous deux besoin du soutien de tiers pour prendre en charge les enfants, comme tout parent travaillant à temps complet. Enfin, la présidente a souligné le fait que D.________, lors de son audition, avait clairement indiqué souhaiter continuer la garde alternée et qu’il n’y avait pas d’élément permettant de retenir, comme le soutenait l’appelante, que son discours avait été orienté. En résumé, si l’on pouvait admettre que les relations parentales s’étaient détériorées depuis la signature de la convention en 2020 en raison des nombreux reproches de l’appelante envers l’intimé, il n’en demeurait pas moins que cela ne constituait pas une modification essentielle de la situation. En outre, la situation qui prévalait, en dépit des évènements relatés par l’appelante, ne portait pas atteinte au bien des enfants ni ne le menaçait sérieusement, ces derniers ayant au contraire besoin de stabilité, notamment dans leur prise en charge. La présidente a dès lors décidé qu’il convenait en l’état de maintenir la garde alternée entre les parties sur leurs enfants D.________ et E.________.</w:t>
      </w:r>
    </w:p>
    <w:p>
      <w:r>
        <w:rPr>
          <w:b/>
        </w:rPr>
        <w:t>E. 4.4</w:t>
      </w:r>
    </w:p>
    <w:p>
      <w:r>
        <w:t>Dans un premier grief, l’appelante fait valoir que l’intimé ne respecterait pas le chiffre Ilbis de la convention du 12 novembre 2020,</w:t>
      </w:r>
    </w:p>
    <w:p>
      <w:r>
        <w:t>- 30 - selon lequel il s’est engagé à fixer les éventuels cours qu’il donne les jours où il n’a pas la garde des enfants, et, si un cours doit avoir lieu un jour où il en a la garde, à ce que les enfants soient gardés à son domicile soit par leur grand-mère paternelle soit par la maman de jour. Elle fait valoir que l’intimé donnerait régulièrement des cours les jours durant lesquels il aurait la garde des enfants, notamment les soirs et les week-ends aux alentours de 19 h 30 ou 20 h 00 et que les enfants seraient alors gardés par leur grand-mère paternelle à son domicile en [...] ou par la maman de jour à son propre domicile. De ce fait, les enfants se coucheraient trop tard, ce qui nuirait à leur bon développement. Elle soutient en outre que ce problème aurait été soulevé « à plusieurs reprises » par les maîtresses d’école des enfants. L’appelante procède toutefois par simples affirmations, indiquant simplement que les faits qu’elle avance auraient été « prouvé[s] par pièces », sans toutefois préciser à quels titres elle renvoie. Or, conformément à la jurisprudence précitée (cf. supra consid. 3.1), il n’y a pas lieu d’entrer en matière sur les griefs de constatation inexacte des faits, qui se réfèrent de manière toute générale aux « pièces du dossier », sans mentionner de pièces précises. Dans la mesure où il est recevable, ce grief doit être rejeté.</w:t>
      </w:r>
    </w:p>
    <w:p>
      <w:r>
        <w:rPr>
          <w:b/>
        </w:rPr>
        <w:t>E. 4.5</w:t>
      </w:r>
    </w:p>
    <w:p>
      <w:r>
        <w:t>Il en va de même du grief selon lequel l’intimé serait nécessairement en incapacité de s’occuper personnellement de ses enfants, au vu de son rythme de travail, ou qu’il ne s’occuperait nullement de ses enfants la majeure partie du temps durant lequel ils se trouveraient chez lui. Comme rappelé plus haut, la présidente a écarté ces affirmations en motivant ses constatations. L’appelante fait valoir les mêmes moyens qu’en première instance, en se contentant d’affirmer sa thèse une nouvelle fois. La seule argumentation qu’elle présente en faveur de celle- ci repose sur d’autres faits avancés comme établis, sans la moindre explication à cet égard. Ainsi, on devrait déduire que l’intimé ne s’occupe pas de ses enfants du fait qu’il ne les amène pas à des consultations médicales. Ce dernier fait, supposé prouver le premier, n’est nullement établi.</w:t>
      </w:r>
    </w:p>
    <w:p>
      <w:r>
        <w:t>- 31 - Par ailleurs, l’appelante présente des arguments contradictoires. On l’a vu, l’appelante déduit du fait que l’intimé n’amènerait pas ses enfants à consulter qu’il ne s’en occuperait pas personnellement. Mais elle affirme également qu’il ne le ferait pas car il minimiserait leurs symptômes. Ces deux hypothèses sont discordantes, et là encore, l’appelante procède par affirmations. L’appelante fait de même en assénant l’intimé de reproches, sans aucune preuve à l’appui de sa thèse. Elle évoque pléthore de situations qui démontreraient que l’intimé ne s’occuperait pas de ses enfants. Elle soutient par exemple que le père ne se rendrait pas disponible pour les réunions de parents ou les « promotions » d’E.________, qu’il ne lui donnerait pas son traitement médicamenteux, qu’il aurait annulé un rendez-vous pris chez la logopédiste, qu’il oublierait de prévenir l’école qu’il ne viendrait pas chercher les enfants à la sortie de l’école ou la maman de jour que les enfants ne viendraient pas. L’appelante répertorie aussi d’autres événements qui concerneraient D.________ : ainsi, l’intimé aurait laissé D.________ errer seul dans un hôtel pendant plusieurs heures au cours d’une soirée, télécharger des applications sur son téléphone portable sans contrôle parental, ou encore circuler seul et sans casque sur les voies de circulation au guidon d’une trottinette électrique. Elle revient également sur l’épisode des photographies de D.________ prises par l’intimé alors qu’elle a elle-même admis, lors de l’audience du 8 septembre 2023 – ce que l’appelante ne conteste pas – qu’elle n’avait en réalité pas de craintes quant à des comportements déplacés du père sur les enfants. Sans aucun moyen de preuve précis à l’appui, on ne peut que constater que l’appelante se borne à prétendre certains faits sans les étayer pour autant. Son grief est, partant, manifestement infondé, dans la mesure de sa recevabilité.</w:t>
      </w:r>
    </w:p>
    <w:p>
      <w:r>
        <w:rPr>
          <w:b/>
        </w:rPr>
        <w:t>E. 4.6</w:t>
      </w:r>
    </w:p>
    <w:p>
      <w:r>
        <w:t>Ensuite, l’appelante reproche à la présidente d’avoir retenu que l’intimé ne communiquait pas suffisamment avec elle, et que ses attentes en matière de coparentalité allaient au-delà de ce qui était</w:t>
      </w:r>
    </w:p>
    <w:p>
      <w:r>
        <w:t>- 32 - nécessaire. A cet égard, elle se contente d’affirmer que ses attentes ne vont pas au-delà de ce qui est nécessaire (appel, p. 25), puis énonce toute une liste d’occasions lors desquelles l’intimé aurait failli à son devoir d’information (appel, p. 26). Là encore, l’appelante ne procède que par affirmations. Et là encore, les affirmations en question sont contradictoires. En effet, l’appelante affirme que l’intimé ne s’occuperait nullement de la santé de ses enfants, pour ensuite lui reprocher de ne pas la mettre en copie lorsqu’il échange des correspondances avec la logopédiste de sa fille ou le pédiatre. L’appelante fait en outre valoir que la présidente n’aurait « pas pris en compte, sans aucune raison sérieuse, les éléments de preuve » qu’elle aurait apportés tout au long de la procédure de mesures provisionnelles selon lesquels les communications de l’intimé ne seraient pas suffisantes (appel, p. 27 in fine). Elle ne précise toutefois pas quels sont ces « éléments de preuve ». Ces moyens ressortissent en réalité à la constatation inexacte des faits mais l’appelante se contente d’affirmer les mêmes faits qu’en première instance et de reprocher à la présidente de ne pas les avoir retenus. Il suit de là que le grief de l’appelante apparaît manifestement infondé, dans la mesure de sa recevabilité.</w:t>
      </w:r>
    </w:p>
    <w:p>
      <w:r>
        <w:rPr>
          <w:b/>
        </w:rPr>
        <w:t>E. 4.7</w:t>
      </w:r>
    </w:p>
    <w:p>
      <w:r>
        <w:t>Enfin, l’appelante reproche à la présidente d’avoir retenu que D.________ souhaitait le maintien de la garde alternée alors que, selon elle, son discours aurait été orienté par l’intimé. Là encore, l’appelante ne démontre pas sa thèse, se contentant d’affirmer divers faits, dont il se déduirait, selon elle, que l’intimé exercerait une « pression néfaste » sur l’enfant. La démonstration de l’appelante, outre qu’elle repose sur de simples affirmations, est très loin d’être convaincante. Ainsi, elle explique en particulier que D.________ aurait avoué à un enseignant avoir pris les chaussures de sport d’un camarade, puis qu’il aurait, conformément aux instructions de son père, ramené à l’école ses propres chaussures de sport en prétendant que celles-ci n’étaient pas à lui. L’appelante prétend déduire ce dernier fait de ce que, lorsqu’elle a demandé à l’enfant si c’étaient ses propres chaussures de sport qu’il avait rapportées à l’école, l’enfant n’aurait pas répondu et aurait souri « démontrant qu'il s’agissait</w:t>
      </w:r>
    </w:p>
    <w:p>
      <w:r>
        <w:t>- 33 - effectivement des siennes » (sic) (appel, p. 29 in fine). De cette déduction déjà surprenante, elle déduit que l’intimé « oriente[rait] D.________ dans ses propos et exerce[rait] un contrôle manifeste et passablement nocif sur ce dernier ». Une telle argumentation mérite d’être relevée. Il est inquiétant que l’appelante se fonde sur un événement aussi banal, dont on ignore à vrai dire tout mais qui, en tout état de cause, relève au sens propre de la vie d’une cour de récréation, pour affirmer que l’intimé exercerait « un contrôle manifeste et passablement nocif » sur son enfant. Le cheminement de la pensée de l’appelante est aussi surprenant. Du silence de son fils, elle déduit que celui-ci – on ignore pourquoi –, aurait rendu à l’école ses propres chaussures, après apparemment avoir dérobé celles d’un camarade. Et de cette supposition, elle déduit que ce comportement aurait été induit par le père de l’enfant. Un tel moyen tend à confirmer l’appréciation de la présidente selon laquelle l’appelante se méfie excessivement de l’intimé et qu’elle dramatise à l’excès des évènements banals, inhérents à la vie de jeunes enfants. Ici encore, le grief s’avère manifestement infondé, dans la mesure de sa recevabilité.</w:t>
      </w:r>
    </w:p>
    <w:p>
      <w:r>
        <w:rPr>
          <w:b/>
        </w:rPr>
        <w:t>E. 4.8</w:t>
      </w:r>
    </w:p>
    <w:p>
      <w:r>
        <w:t>Au vu de ce qui précède, l’appel, à la limite de la recevabilité, est manifestement infondé. Il n’y a aucune raison de réformer les chiffres I, II et IV du dispositif de l’ordonnance dans le sens souhaité par l’appelante, ni d’annuler les chiffres I et IV du dispositif. L’appelante ne fait d’ailleurs valoir aucun moyen à l’appui d’une telle annulation. Il n’y a en outre pas lieu d’entrer en matière sur les conclusions de l’appelante relatives à l’entretien convenable des enfants et à leurs contributions d’entretien, l’appelante ne traitant aucunement ces questions dans son appel. Ces conclusions supposeraient apparemment une modification de la garde.</w:t>
      </w:r>
    </w:p>
    <w:p>
      <w:r>
        <w:t>- 34 -</w:t>
      </w:r>
    </w:p>
    <w:p>
      <w:r>
        <w:rPr>
          <w:b/>
        </w:rPr>
        <w:t>E. 4.9</w:t>
      </w:r>
    </w:p>
    <w:p>
      <w:r>
        <w:t>Concernant la conclusion relative à l’expertise familiale par l’UCCF et à la désignation de la personne de l’expert par le Juge de céans, l’appelante ne la motive aucunement, de sorte qu’il n’y a pas lieu d’entrer en matière, d’autant moins que l’appelante aurait pu requérir cette mesure d’instruction devant l’autorité de première instance, ce qu’elle n’a pas jugé utile de faire. On relèvera au demeurant encore une fois que, même à la lecture du rapport du détective privé mandaté par l’appelante, l’intimé s’occupe bien de leurs enfants et le bien de ceux-ci ne semble pas mis en danger.</w:t>
      </w:r>
    </w:p>
    <w:p>
      <w:r>
        <w:rPr>
          <w:b/>
        </w:rPr>
        <w:t>E. 4.10</w:t>
      </w:r>
    </w:p>
    <w:p>
      <w:r>
        <w:t>Quant à la conclusion subsidiaire de l’appelante visant à la récusation de la présidente en cas d’annulation des chiffres I et IV du dispositif de l’ordonnance querellée, celle-ci est manifestement sans objet, sans qu’il faille examiner si une telle demande de récusation conditionnelle est de la compétence de l’autorité d’appel, ce qui est douteux.</w:t>
      </w:r>
    </w:p>
    <w:p>
      <w:r>
        <w:rPr>
          <w:b/>
        </w:rPr>
        <w:t>E. 5</w:t>
      </w:r>
    </w:p>
    <w:p>
      <w:r>
        <w:t>En octobre 2022, l’appelante a mandaté P.________SA, société fonctionnant comme détective privé, dans le but de surveiller l’intimé à son insu. Selon son rapport du 16 novembre 2022, P.________SA a pris l’intimé en filature les 10, 18 et 20 octobre 2022 et les 1er, 2, 4, 5 et 7 novembre 2022. Elle a répertorié les déplacements de l’intimé, de D.________ et d’E.________ et a décrit les sorties réalisées par les enfants auprès de la maman de jour et de leur père, par exemple au parc, au centre commercial ou chez leur grand-mère paternelle en [...]. Il est également précisé dans le rapport qu’à chaque fois que l’intimé amène ses enfants à l’école, il les accompagne à l’intérieur de l’établissement scolaire. Aucun élément inquiétant ou sortant de l’ordinaire n’est relaté dans le document établi par P.________SA. En d roit : 1. 1.1 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de 10'000 fr. au moins (art. 308 al. 2 CPC). Les ordonnances de mesures provisionnelles étant régies par la procédure sommaire selon l’art. 248 let. d CPC, le délai pour</w:t>
      </w:r>
    </w:p>
    <w:p>
      <w:r>
        <w:t>- 16 - l’introduction de l’appel est de dix jours (art. 314 al. 1 CPC). Un membre de la Cour d’appel civile statue comme juge unique sur les appels formés contre les décisions sur mesures provisionnelles (art. 84 al. 2 LOJV [loi d’organisation judiciaire du 12 décembre 1979 ; BLV 173.01]). 1.2 Formé en temps utile par une partie disposant d’un intérêt digne de protection (art. 59 al. 2 let. a CPC) contre une ordonnance de mesures provisionnelles et portant tant sur des conclusions non patrimoniales que sur des conclusions qui, capitalisées selon l’art. 92 al. 2 CPC, sont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w:t>
      </w:r>
    </w:p>
    <w:p>
      <w:r>
        <w:t>- 17 - 2.2 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let. a CPC). Il se prononce ainsi sur la base de la simple vraisemblance des faits après une administration limitée des preuves, en se fondant sur les moyens de preuve immédiatement disponibles (ATF 139 III 86 consid. 4.2 ; ATF 131 III 473 consid. 2.3, JdT 2005 I 305, SJ 2005 I 517 ; TF 5A_788/2022 du 18 janvier 2024 consid. 4.3.2 ; TF 5A_784/2022 du 12 juillet 2023 consid. 5.2). La maxime inquisitoire illimitée est applicable lorsque, comme en l’occurrence, le juge est saisi de questions relatives aux enfants dans les affaires du droit de la famille (art. 296 al. 1 CPC). En vertu de cette maxime,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 citées, FamPra.ch 2018 p. 1041 ; TF 5A_397/2022 du 17 mai 2023 consid. 6.1.3). Cette obligation du juge d’établir d’office les faits n’est cependant pas sans limite. La maxime inquisitoire ne dispense pas, en effet, les parties de collaborer activement à la procédure, de renseigner le juge sur les faits de la cause et de lui indiquer les moyens de preuve disponibles (ATF 140 III 485 consid. 3.3, JdT 2015 II 255, FamPra.ch 2014 p. 1040 ; TF 5A_784/2022 précité consid. 5.2 ; TF 5A_768/2022 du 21 juin 2023 consid. 4). Le devoir de collaborer comprend en particulier l’obligation d’apporter, dans la mesure où cela est raisonnablement exigible, les preuves commandées par la nature du litige et des faits invoqués (ATF 139 V 176 consid. 5.2 ; ATF 128 III 411 consid. 3.2.1, JdT 2003 I 66, SJ 2003 I 121, FamPra.ch 2003 p. 179 ; TF 5A_79/2023 du 24 août 2023 consid. 3.3.3 ; TF 5A_329/2022 du 2 novembre 2022 consid. 3.1.3) S’agissant des questions relatives aux enfants mineurs, la maxime d’office s’applique et le juge n’est dès lors pas limité par les conclusions des parties (art. 296 al. 3 CPC).</w:t>
      </w:r>
    </w:p>
    <w:p>
      <w:r>
        <w:t>- 18 - L’application des maximes inquisitoire et d’office prévue par l’art. 296 CPC s’étend à la procédure d’appel (TF 5A_895/2022 du 17 juillet 2023 consid. 9.3 et les réf. citées)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5A_146/2023 du 23 mai 2023 consid. 6.2.3.1 ; TF 5A_451/2020 du 31 mars 2021 consid. 3.1.1 et les réf. citées).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147 III 301 consid. 2.2, JdT 2022 II 160, FamPra.ch 2021 p. 455 ; ATF 144 III 349 précité consid. 4.2.1 et les réf. citées ; TF 5A_582/2020 du 7 octobre 2021 consid. 4.1.4). 2.3.2 En l’espèce, l’appelante a invoqué des faits nouveaux survenus en octobre 2023 (allégués 51 à 56 de l’appel) liés, d’une part, à un événement au cours duquel D.________ aurait subtilisé les chaussures d’un camarade de classe et, d’autre part, au fait qu’à trois reprises, D.________ aurait pleuré et n’aurait pas géré ses émotions à l’école et qu’il aurait dû être emmené deux fois chez la sophrologue. La maxime inquisitoire illimitée étant applicable aux questions concernant les enfants</w:t>
      </w:r>
    </w:p>
    <w:p>
      <w:r>
        <w:t>- 19 - mineurs, ces faits sont recevables indépendamment de savoir s’ils satisfont aux réquisits de l’art. 317 CPC ; il en a été tenu compte dans la mesure utile. Concernant la recevabilité des faits nouveaux invoqués par l’appelante au sujet de la prétendue apparence de prévention de la présidente (allégués 57 à 60 de l’appel), cette question peut demeurer ouverte au vu des considérants qui suivent (cf. infra consid. 4.1 et suivants). 2.4 2.4.1 En proposant comme moyen de preuve son audition à l’appui des faits nouveaux qu’elle invoque (allégués 51 à 56 de l’appel), on peut comprendre de l’acte de l’appelante qu’elle requiert implicitement la convocation d’une audience afin de procéder à son interrogatoire. 2.4.2 Aux termes de l’art. 316 CPC, l’instance d’appel peut ordonner des débats ou statuer sur pièces (al. 1)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(ATF 142 III 413 consid. 2.2.1 et les réf. citées, JdT 2017 II 153, SJ 2017 I 16 ; TF 5A_79/2023 précité consid. 3.3.2 ; TF 5A_507/2022 du 14 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des art. 273 (mesures protectrices de l’union conjugale), 287 et 291 CPC (divorce) (Jeandin, Commentaire romand, Code de procédure civile, Bâle 2019, n. 3a ad art. 316 CPC et les réf. citées). En règle générale, la procédure d’appel est conduite sur pièces, sans audience ni administration de preuves (ATF 142 III 413 précité consid. 2.2.1 et les réf. citées ; TF 5A_79/2023 précité consid. 3.3.2 ; TF 5A_507/2022 précité consid. 3.3.4.2).</w:t>
      </w:r>
    </w:p>
    <w:p>
      <w:r>
        <w:t>- 20 - Si l’instance d’appel peut librement décider d’administrer des preuves en vertu de l’art. 316 al. 3 CPC, cette disposition ne confère pas au justiciable un droit à la réouverture de la procédure probatoire et à l’administration de preuves (ATF 144 III 394 consid. 4.1.3 et les réf. citées, JdT 2019 II 147). Le droit à la preuve, comme le droit à la contre-preuve – qu’ils découlent de l’art. 8 CC ou de l’art. 29 al. 2 Cst. féd. (Constitution fédérale de la Confédération suisse du 18 avril 1999 ; RS 101) – n’excluent pas une appréciation anticipée des preuves (ATF 138 III 374 précité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précité consid. 4.3.2). Il n’en va pas différemment lorsque – comme en l’espèce – le procès est soumis à la maxime inquisitoire (art. 55 al. 2 et 296 al. 1 CPC ; ATF 138 III 374 précité consid. 4.3.2 ; ATF 130 III 734 consid. 2.2.3, JdT 2005 I 314, SJ 2005 I 79, FamPra.ch 2005 p. 431 ; TF 5A_505/2021 du 29 août 2022 consid. 3.3.2 et les réf. citées ; TF 5A_695/2020 du 26 avril 2021 consid. 3.2.2 et les réf. citées), également applicable en appel (parmi plusieurs : TF 5A_702/2020 du 21 mai 2021 consid. 4.4 et les réf. citées ; sur le tout : TF 5A_79/2023 précité consid. 3.3.2). 2.4.3 En l’espèce, l’appelante ne motive pas sa réquisition relative à son interrogatoire ; elle n’explique pas pour quelles motifs le Juge de céans devrait tenir audience et l’auditionner en sus de conduire la procédure sur pièces. De plus, les griefs soulevés par l’appelante dans son acte sont clairs et ne nécessitent pas son interrogatoire en audience d’appel. Comme on le verra plus loin (cf. consid. 4.7 infra), les faits nouveaux invoqués ne sont, eux, guère pertinents, de sorte que l’audition de l’appelante, à titre de moyen de preuve, est inutile.</w:t>
      </w:r>
    </w:p>
    <w:p>
      <w:r>
        <w:t>- 21 - L’affaire est donc en état d’être tranchée sur la base du dossier.</w:t>
      </w:r>
    </w:p>
    <w:p>
      <w:r>
        <w:t>- 22 - 3. 3.1 Même lorsque la maxime inquisitoire illimitée prévue par l’art. 296 al. 1 CPC est applicable, l’appel doit être motivé (art. 311 al. 1 CPC). Ni la maxime d’office ni la maxime inquisitoire illimitée ne permettent de relativiser les exigences posées par l’art. 311 CPC (ATF 147 III 176 précité consid. 4.2 ; ATF 141 III 569 consid. 2.3.3 et les réf. citées ; ATF 137 III 617 consid. 4.6, JdT 2014 II 187, SJ 2012 I 373, FamPra.ch 2012 p. 443 ; TF 5A_23/2023 du 17 janvier 2024 consid. 4.3).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précité consid. 2.3.3 ; ATF 138 III 374 précité consid. 4.3.1 ; TF 5A_524/2023 du 14 décembre 2023 consid. 3.3.1 ; TF 4A_462/2022 du 6 mars 2023 consid. 5.1.1 ; TF 5A_453/2022 du 13 décembre 2022 consid. 3.1). Il en résulte que, lorsque l’appelant retranscrit ce qu’il considère être les « faits pertinents », sans rien indiquer sur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9 novembre 2023/457 consid. 2.3 ; CACI 7 novembre 2022/549 consid. 2.2 ; CACI 23 août 2022/428 consid. 3).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20 novembre 2023/467 consid. 3.2 ; CACI 13 octobre 2022/523 consid. 2.2.1 ; CACI 3 décembre 2021/570 consid. 4.2.1). Même si l’instance d’appel applique le droit d’office (art. 57 CPC), le procès se présente différemment en seconde instance, vu la</w:t>
      </w:r>
    </w:p>
    <w:p>
      <w:r>
        <w:t>- 23 -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5A_524/2023 précité consid. 3.3.1 ; TF 5A_779/2021 et 5A_787/2021 du 16 décembre 2022 consid. 4.3.1).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citée ; TF 4A_168/2022 du 10 juin 2022 consid. 5.2). 3.2 En l’espèce, l’appelante renvoie à l’état de fait développé dans l’ensemble de ses écritures de première instance, tout en faisant valoir un établissement inexact des faits et une appréciation « erronée, voire arbitraire » des preuves (appel, p. 5). Elle expose ensuite en douze pages et cinquante allégués un état de fait de son cru (appel, pp. 5 à 16). Cette partie de l’appel est entièrement irrecevable dès lors qu’elle ne contient aucun grief clairement formulé et qu’elle consiste soit dans la reprise d’éléments figurant dans l’ordonnance dont est appel soit dans une liste de faits, sans toutefois mentionner si ceux-ci figurent déjà dans l’ordonnance attaquée ou si elle entend la voir complétée. Comme exposé plus haut, il n’appartient au Juge de céans ni de comparer l’état de fait de l’ordonnance à celui présenté par l’appelante, ni de se plonger dans les écritures de première instance de celle-ci pour y déceler les éventuelles modifications qu’elle aurait apportées et en déduire ses critiques. On</w:t>
      </w:r>
    </w:p>
    <w:p>
      <w:r>
        <w:t>- 24 - relèvera au demeurant que l’appelante procède par simples affirmations, offrant comme preuve de ses allégués son propre interrogatoire, « par la procédure » ou « par appréciation ». 4.</w:t>
      </w:r>
    </w:p>
    <w:p>
      <w:r>
        <w:rPr>
          <w:b/>
        </w:rPr>
        <w:t>E. 5.1</w:t>
      </w:r>
    </w:p>
    <w:p>
      <w:r>
        <w:t>Compte tenu de ce qui précède, l’appel, manifestement infondé, doit être rejeté dans la mesure de leur recevabilité, en application de l’art. 312 al. 1 in fine CPC et l’ordonnance confirmée.</w:t>
      </w:r>
    </w:p>
    <w:p>
      <w:r>
        <w:rPr>
          <w:b/>
        </w:rPr>
        <w:t>E. 5.2</w:t>
      </w:r>
    </w:p>
    <w:p>
      <w:r>
        <w:t>Les frais judicaires de deuxième instance, arrêtés à 600 fr. (art. 65 al. 2 TFJC [tarif des frais judiciaires civils du 28 septembre 2010 ; BLV 270.11.5]), seront mis à la charge de l’appelante, qui succombe (art. 106 al. 1 CPC).</w:t>
      </w:r>
    </w:p>
    <w:p>
      <w:r>
        <w:rPr>
          <w:b/>
        </w:rPr>
        <w:t>E. 5.3</w:t>
      </w:r>
    </w:p>
    <w:p>
      <w:r>
        <w:t>Il n’y a pas lieu à l’allocation de dépens de deuxième instance, l’intimé n’ayant pas été invitée à se déterminer sur l’appel.</w:t>
      </w:r>
    </w:p>
    <w:p>
      <w:r>
        <w:t>- 35 - Par ces motifs, le Juge unique de la Cour d’appel civile prononce: I. L’appel est rejeté dans la mesure de sa recevabilité. II. L’ordonnance est confirmée. III. Les frais judiciaires de deuxième instance, arrêtés à 600 fr. (six cents francs), sont mis à la charge de l’appelante B.________. IV. L’arrêt est exécutoire. Le juge unique : La greffière : Du Le présent arrêt, dont la rédaction a été approuvée à huis clos, est notifié à : - Me Patricia Michellod (pour B.________), - Me Christine Raptis (pour C.________), et communiqué, par l’envoi de photocopies, à : - Madame la Présidente du Tribunal civil de l’arrondissement de La Côte, - l’Unité évaluation et missions spécifiques (UEMS) de la Direction générale de l’enfance et de la jeunesse (DGEJ), Le Juge unique de la Cour d’appel civile considère que la valeur litigieuse est supérieure à 30'000 francs.</w:t>
      </w:r>
    </w:p>
    <w:p>
      <w:r>
        <w:t>- 36 -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