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TD22.041133 vom 6. Juli 2024</w:t>
      </w:r>
    </w:p>
    <w:p>
      <w:r>
        <w:t>VD Tribunal cantonal, 2024-07-06, FR</w:t>
      </w:r>
    </w:p>
    <w:p>
      <w:r>
        <w:rPr>
          <w:b/>
        </w:rPr>
        <w:t xml:space="preserve">Quelle: </w:t>
      </w:r>
      <w:r>
        <w:t>https://mcp.opencaselaw.ch/entscheid/vd_gerichte_TD22.041133</w:t>
      </w:r>
    </w:p>
    <w:p>
      <w:r>
        <w:t>FR: VD_GERICHTE TD22.041133 du 6 juillet 2024</w:t>
      </w:r>
    </w:p>
    <w:p>
      <w:r>
        <w:t>IT: VD_GERICHTE TD22.041133 del 6 luglio 2024</w:t>
      </w:r>
    </w:p>
    <w:p>
      <w:pPr>
        <w:pStyle w:val="Heading2"/>
      </w:pPr>
      <w:r>
        <w:t>Erwägungen</w:t>
      </w:r>
    </w:p>
    <w:p>
      <w:r>
        <w:rPr>
          <w:b/>
        </w:rPr>
        <w:t>E. 3</w:t>
      </w:r>
    </w:p>
    <w:p>
      <w:r>
        <w:t>L’appelant soulève trois moyens. Premièrement, il reproche à la Présidente d’avoir considéré que son revenu n’avait pas connu une modification notable et durable. Il soutient ensuite que le manco prétendument assumé par l’intimée ne devrait pas être reporté dans les coûts de l’enfant ; ce déficit n’aurait pas été engendré par l’occupation personnelle de l’enfant. Enfin, ce serait à tort que la Présidente n’a pas imputé un revenu hypothétique à l’intimée.</w:t>
      </w:r>
    </w:p>
    <w:p>
      <w:r>
        <w:rPr>
          <w:b/>
        </w:rPr>
        <w:t>E. 3.1</w:t>
      </w:r>
    </w:p>
    <w:p>
      <w:r>
        <w:t>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n'est possible que si les circonstances ayant prévalu lors de la fixation de la contribution ont subi un changement notable et durable qui n'a pas été pris en compte dans le jugement de divorce. La procédure de modification n'a en effet pas pour but de corriger le premier jugement, mais de l'adapter aux circonstances nouvelles (ATF 141 III 376 consid. 3.3.1; 138 III 289 consid. 11.1.1 ; TF 5A_971/2020 du 19 novembre 2021 consid. 5.2.3.1 et les références).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 TF 5A_190/2020 du 30 avril 2021 consid. 3 et la jurisprudence citée). Si un autre motif de modification survient après l'introduction de l'instance mais avant le début des délibérations sur le jugement – c'est- à-dire jusqu'au moment où de vrais nova peuvent être présentés (ATF 142 III 413 consid. 2.2.6) –, il peut et doit être invoqué dans la procédure en cours (cf. ATF 143 III 42 consid. 5.3 et les références), pour autant toutefois que le caractère durable du changement soit intervenu avant cette limite temporelle (TF 5A_253/2020 du 25 mars 2021 consid. 3.1.1, FamPra.ch 2021 p. 798 ; TF 5A_874/2019 du 22 juin 2020 consid. 4.3.1).</w:t>
      </w:r>
    </w:p>
    <w:p>
      <w:r>
        <w:t>- 12 -</w:t>
      </w:r>
    </w:p>
    <w:p>
      <w:r>
        <w:rPr>
          <w:b/>
        </w:rPr>
        <w:t>E. 3.2</w:t>
      </w:r>
    </w:p>
    <w:p>
      <w:r>
        <w:t>En l’espèce, même si la Présidente n’a pas admis que le revenu de l’appelant avait connu une modification notable et durable, elle est néanmoins entrée en matière sur la requête en modification de l’appelant pour le motif que la charge locative de celui-ci avait notablement et durablement changé. Aucune des parties ne critique ce dernier raisonnement, qui est du reste fondé. Il y a dès lors lieu de confirmer l’entrée en matière et d’examiner la critique de l’appelant en ce qui concerne le maintien du revenu hypothétique de 22'236 fr. 25 dans le cadre de l’actualisation des ressources et des charges des intéressés.</w:t>
      </w:r>
    </w:p>
    <w:p>
      <w:r>
        <w:rPr>
          <w:b/>
        </w:rPr>
        <w:t>E. 4</w:t>
      </w:r>
    </w:p>
    <w:p>
      <w:r>
        <w:t>mai 2020/162 ; Juge délégué CACI 24 juillet 2020/319 ; CACI 1er novembre 2021/514). Un revenu hypothétique peut par conséquent être imputé pour la part de la capacité de travail qui n’est pas exploitée. Si les parents faisaient ménage commun, il faut dans un premier temps se fonder sur l’organisation familiale qui prévalait avant la séparation, étant toutefois précisé que le modèle de répartition des tâches antérieurement</w:t>
      </w:r>
    </w:p>
    <w:p>
      <w:r>
        <w:t>- 14 - suivi ne peut être perpétué indéfiniment (ATF 144 III 481 consid. 4. 5 et 4.6, JdT 2019 II 179; TF 5A_462/2019 du 29 janvier 2020 consid. 5.3.1).</w:t>
      </w:r>
    </w:p>
    <w:p>
      <w:r>
        <w:rPr>
          <w:b/>
        </w:rPr>
        <w:t>E. 4.1</w:t>
      </w:r>
    </w:p>
    <w:p>
      <w:r>
        <w:t>Selon l'art. 276 CC, l'entretien de l'enfant est assuré par les soins, l'éducation et des prestations pécuniaires (al. 1), ces trois éléments étant considérés comme équivalents (ATF 147 III 265 consid. 5.1 et 5.2). Les parents contribuent ensemble, chacun selon ses facultés, à l'entretien convenable de l'enfant et assument en particulier les frais de sa prise en charge, de son éducation, de sa formation et des mesures prises pour le protéger (al. 2). Aux termes de l'art. 285 al. 2 CC, la contribution d'entretien sert aussi à garantir la prise en charge de l'enfant par les parents et les tiers. Aux frais directs générés par l'enfant viennent donc s'ajouter les coûts indirects de sa prise en charge, ce qui implique de garantir économiquement parlant que le parent qui assure la prise en charge puisse subvenir à ses propres besoins tout en s'occupant de l'enfant (ATF 147 III 265 consid. 5.3 ; ATF 144 III 377 consid. 7.1.1; 5A_782/2019 du 15 juin 2020 consid. 4.2 ; 5A_963/2018 du 23 mai 2019 consid. 3.3.1 et les références). La prise en charge de l'enfant ne donne donc droit à une contribution que si elle a lieu à un moment où le parent pourrait sinon exercer une activité rémunérée. En cas de prise en charge par l'un des parents (ou les deux), ce qui l'empêchera de travailler – du moins à plein temps –, la contribution de prise en charge doit permettre de garantir sa présence aux côtés de l'enfant (ATF 144 III 377 consid. 7.1.3), étant précisé qu'il ne s'agit pas de rémunérer le parent qui s'occupe de l'enfant</w:t>
      </w:r>
    </w:p>
    <w:p>
      <w:r>
        <w:t>- 13 - (pour davantage de détails, voir ATF 144 III 377 consid. 7.1 et 7.1.2.2 et les références). En particulier, il n’y a pas de contribution de prise en charge lorsque l’impossibilité d’une mère d’assumer ses propres frais de substance ne résulte nullement du fait qu’elle prend en charge l’enfant personnellement mais de son incapacité de travail (TF 5A_503/2020 du 16 décembre 2020 consid. 6, confirmant l’arrêt Juge délégué CACI 15 mai 2020/182). Le Tribunal fédéral insiste sur le fait que le lien de causalité entre la perte de gain et la prise en charge de l’enfant soit établi (TF 5A_378/2021 du 2 septembre 2022 consid. 8.4). En cas de garde alternée, chaque parent ne doit pas nécessairement une contribution d'entretien identique, le critère décisif étant celui de la capacité contributive, de sorte qu'une contribution de prise en charge peut être due (TF 5A_743/2017 du 22 mai 2019 consid. 5.4.4, FamPra.ch 2019 p. 1000). Cette contribution de prise en charge ne peut être calculée forfaitairement, mais doit respecter la méthode des frais de subsistance (Lebenshaltungskosten) (TF 5A_743/2017 du 22 mai 2019 consid. 5.4.5, FamPra.ch. 2019 p. 1000). Lors d'une garde partagée à parts égales, la capacité de gain de chaque parent n'est entamée que dans la mesure de la prise en charge effective de l'enfant: même lorsque celui-ci justifie, en raison de son jeune âge, une prise en charge à 100%, chacun des parents dispose de la possibilité d'exercer une activité lucrative à 50%. Lorsque l'enfant ne justifiera plus qu'une prise en charge à 50%, il est en principe légitime de reconnaitre à chaque parent la faculté d'accomplir un travail rémunéré à un taux de 75%. C'est donc au regard de cette capacité de gain, générant un revenu réel ou hypothétique, qu'il faudra examiner s'il se justifie encore de mettre à disposition de l'un des parents un montant qui permette la prise en charge personnelle (Juge unique CACI 23 mai 2023/205 ; Juge délégué CACI 11 juin 2019/321; CACI</w:t>
      </w:r>
    </w:p>
    <w:p>
      <w:r>
        <w:rPr>
          <w:b/>
        </w:rPr>
        <w:t>E. 4.2</w:t>
      </w:r>
    </w:p>
    <w:p>
      <w:r>
        <w:t>Le Tribunal fédéral considère que pour arrêter les coûts directs de l’enfant (Barunterhalt), il y a lieu de se fonder, comme pour la contribution de prise en charge, sur la méthode des frais de subsistance (Lebenshaltungskosten) (ATF 147 III 265 consid. 6.1). Cette méthode a vocation à s’appliquer à l’échelle de la Suisse en ce qui concerne l’entretien de l’enfant – et celui du conjoint (art. 125 CC) le cas échéant (ATF 147 III 293 consid. 4) –, sauf le cas de situations très particulières (ATF 147 III 293 consid. 4.5 in fine ; ATF 147 III 265 consid. 6.6 in fine). Les Lignes directrices pour le calcul du minimum vital du droit des poursuites (ci-après : Lignes directrices LP) selon l’art. 93 LP (loi fédérale du 11 avril 1889 sur la poursuite pour dettes et la faillite ; RS 281.1),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1er juin 2016 consid. 4.3.1)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LP (sont déterminants pour un enfant : la prime d’assurance maladie de base, les frais d’écolage, les frais particuliers liés à la santé), doivent être ajoutés au montant de base.</w:t>
      </w:r>
    </w:p>
    <w:p>
      <w:r>
        <w:t>- 15 -</w:t>
      </w:r>
    </w:p>
    <w:p>
      <w:r>
        <w:rPr>
          <w:b/>
        </w:rPr>
        <w:t>E. 4.3</w:t>
      </w:r>
    </w:p>
    <w:p>
      <w:r>
        <w:t>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pour abonnement, matériel de raccordement, Serafe inclus et les assurances privées en tous genre (50 fr. ; CACI 15 décembre 2022/610), tels que RC, assurance ménage, protection juridique, à l’exception de l’assurance-maladie et de l’assurance-vie,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(ATF 147 III 265 consid. 7.2). De pratique constante,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(ATF 121 III 20 consid. 3a ; TF 5A_638/2023 du 23 février 2024 consid. 4.1). Sous réserve de la «forfaitisation» de certains postes ou de la prise en compte d’un loyer hypothétique, le montant effectif des charges doit en principe être établi (TF 5A_638/2023 du 23 février 2024 consid. 4.1 ; Prior/Stoudmann, Entretien de l’enfant mineur : fixation des coûts directs, part à l’excédent et répartition des coûts, in FamPra.ch 2024, p. 12).</w:t>
      </w:r>
    </w:p>
    <w:p>
      <w:r>
        <w:rPr>
          <w:b/>
        </w:rPr>
        <w:t>E. 4.4</w:t>
      </w:r>
    </w:p>
    <w:p>
      <w:r>
        <w:t>Lorsqu’il subsiste encore des ressources après la couverture du minimum vital du droit de la famille de tous les ayants droit, cet excédent est réparti entre les parents et les enfants mineurs selon la règle de «grandes et petites têtes» (ATF 147 III 265 consid. 7.3).</w:t>
      </w:r>
    </w:p>
    <w:p>
      <w:r>
        <w:rPr>
          <w:b/>
        </w:rPr>
        <w:t>E. 4.5</w:t>
      </w:r>
    </w:p>
    <w:p>
      <w:r>
        <w:t>Dans la mesure où, après la couverture du minimum vital élargi du droit de la famille de tous les intéressés, il reste des ressources</w:t>
      </w:r>
    </w:p>
    <w:p>
      <w:r>
        <w:t>- 16 - (excédent), les coûts directs des enfants – respectivement la contribution destinée à couvrir ces coûts – peuvent être augmentés par l’attribution d’une part de cet excédent. A cet égard, la répartition par «grandes et petites têtes» (à savoir deux parts pour un adulte, une part pour un enfant) s’impose comme nouvelle règle. Toutefois, toutes les particularités du cas justifiant le cas échéant d’y déroger (comme la répartition de la prise en charge, un taux de travail «surobligatoire»,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La décision fixant l’entretien doit exposer pour quels motifs la règle de la répartition par grandes et petites têtes a été appliquée ou non (sur le tout, ATF 147 III 265 consid. 7.2 à 7.4 et les références citées). Le Tribunal fédéral considère désormais que les voyages, les frais de loisirs, etc, doivent être financés par l’excédent et les particularités de ces frais seront prises en compte dans la répartition de cet excédent (ATF 147 III 265 consid. 7.2, FamPra.ch 2021 p. 200 note Stoll ; TF 5A_365/2019 du 14 décembre 2020 consid. 5.4.2 ; Juge délégué CACI 31 mai 2021/258 : idem pour des frais de fitness). La jurisprudence vaudoise s’est ralliée à ce point de vue, y compris en ce qui concerne les activités sportives ou culturelles régulières pratiquées par les enfants, même si elles peuvent avoir une valeur éducative importante (Juge délégué CACI 15 février 2022/82).</w:t>
      </w:r>
    </w:p>
    <w:p>
      <w:r>
        <w:rPr>
          <w:b/>
        </w:rPr>
        <w:t>E. 4.6</w:t>
      </w:r>
    </w:p>
    <w:p>
      <w:r>
        <w:t>Certes, la méthode en deux étapes exposée dans l'ATF 147 III 265 précité prescrit de calculer dans un premier temps les contributions d'entretien selon le minimum vital du droit des poursuites, ensuite seulement et en cas de moyens suffisants le minimum vital du droit de la famille. Cela étant, le juge doit garder à l'esprit que la fixation des revenus et des charges des parents et des coûts de l'enfant comporte toujours une certaine approximation, les périodes déterminantes et les montants dus pouvant être arrondis et simplifiés, l'important étant que, sur l'ensemble</w:t>
      </w:r>
    </w:p>
    <w:p>
      <w:r>
        <w:t>- 17 - de la période pendant laquelle l'enfant est à la charge de ses parents, il soit mis au bénéfice de l'entretien qui lui est nécessaire et que ses parents soient en mesure de lui apporter, ce d'autant plus quand, comme en l'espèce, il s'agit de mesures provisionnelles.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(TF 5A_432/2011 du 20 septembre 2011 consid. 3.5.2). Les griefs : I. De la situation financière de l’appelant</w:t>
      </w:r>
    </w:p>
    <w:p>
      <w:r>
        <w:rPr>
          <w:b/>
        </w:rPr>
        <w:t>E. 5</w:t>
      </w:r>
    </w:p>
    <w:p>
      <w:r>
        <w:t>L’appelant critique la décision de lui imputer le revenu qu’il réalisait lorsqu’il travaillait auprès du R.________AG.</w:t>
      </w:r>
    </w:p>
    <w:p>
      <w:r>
        <w:rPr>
          <w:b/>
        </w:rPr>
        <w:t>E. 5.1.1</w:t>
      </w:r>
    </w:p>
    <w:p>
      <w:r>
        <w:t>Le revenu net du parent contributeur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(CACI 8 avril 2021/171 ; Juge délégué 22 janvier 2020/31 ; Juge délégué 24 juillet 2020/318).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w:t>
      </w:r>
    </w:p>
    <w:p>
      <w:r>
        <w:t>- 18 - d'elle afin de remplir ses obligations (ATF 147 III 249 consid. 3.4.4 ; ATF 143 III 233 consid. 3.2 ; 137 III 102 consid. 4.2.2.2 ; 128 III 4 consid. 4a).</w:t>
      </w:r>
    </w:p>
    <w:p>
      <w:r>
        <w:rPr>
          <w:b/>
        </w:rPr>
        <w:t>E. 5.1.2</w:t>
      </w:r>
    </w:p>
    <w:p>
      <w:r>
        <w:t>Lorsqu’il entend tenir compte d’un revenu hypothétique, le juge doit examiner successivement deux conditions. Tout d’abord, il doit juger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 TF 5A_978/2018 du 15 avril 2019 consid. 3.1), l’utilisation de telles statistiques n’étant nullement impérative, en particulier lorsqu’un revenu concrètement existant peut fournir un point de départ (ATF 147 III 265 consid. 3.2). Selon la jurisprudence,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 ATF 130 III 537 consid. 3.2; TF 5A_930/2019 du 16 septembre 2020 consid. 4.2). Partant, pour fixer la contribution d’entretien selon l’art. 176 al. 1 ch. 1 CC, applicable par analogie aux mesures provisionnelles pendant la procédure de divorce (art. 276 al. 1 CPC),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w:t>
      </w:r>
    </w:p>
    <w:p>
      <w:r>
        <w:t>- 19 - le devoir de participer, selon ses facultés, aux frais supplémentaires qu’engendre la vie séparée (TF 5A_930/2019, déjà cité, loc. cit.). Il se peut qu’à la suite de cet examen, le juge doive modifier la convention conclue pendant la vie commune (ATF 138 III 97 consid. 2.2, JdT 2012 II 479; 137 III 385 consid. 3.1 ; TF 5A_267/2018, déjà cité loc. cit.), le cas échéant en imputant un revenu hypothétique à l’époux concerné.</w:t>
      </w:r>
    </w:p>
    <w:p>
      <w:r>
        <w:rPr>
          <w:b/>
        </w:rPr>
        <w:t>E. 5.2.1</w:t>
      </w:r>
    </w:p>
    <w:p>
      <w:r>
        <w:t>En l’espèce, la première juge a constaté que l’appelant était désormais employé à plein temps en qualité de «Relationship Manager Hunter» au sein de la S.________SA depuis le 1er mars 2023 et que son nouveau salaire était composé d’une part fixe net moyen de 15'125 fr., ainsi que d’une part variable, soit 15'000 fr. par tranche de 10 millions d’actifs que les clients présentés par l’appelant déposeraient auprès de son employeur, avec un Return on assets de 0.7% minimum et d’un montant de 100'000 fr. de prime par relation apportée. Pour l’année commerciale 2024, il était prévu soit une prime de 15'000 fr. aux conditions susmentionnées, soit une gratification contractuelle à certaines conditions définies par le contrat de travail, pour le cas où ce dernier montant serait plus avantageux. La première juge a considéré qu’au vu de l’importance de cette part variable, de l’absence d’indication quant à son nombre de clients et du manque de recul – la requête de mesures provisionnelles du 28 février 2023 ayant été déposée la veille de la prise d’emploi, il était impossible de déterminer avec précision le revenu effectif de l’appelant depuis le 1er mars 2023. En outre et surtout, rien ne justifiait de s’écarter du raisonnement tenu par la CACI qui avait imputé au requérant un revenu hypothétique de 22'236 fr. 25, revenu mensuel net moyen qu’il avait réalisé auprès du R.________AG.</w:t>
      </w:r>
    </w:p>
    <w:p>
      <w:r>
        <w:rPr>
          <w:b/>
        </w:rPr>
        <w:t>E. 5.2.2.1</w:t>
      </w:r>
    </w:p>
    <w:p>
      <w:r>
        <w:t>Dans son arrêt du 19 mai 2022, la CACI a relevé que «les prétendues restructurations, baisses de revenus et autres coupes budgétaires qui auraient cours au sein du R.________AG n’étaient pas rendues vraisemblables par l’appelant, qui sembl[ait] soutenir que sa place était en jeu pour justifier sa démission». Il est notoire que depuis la</w:t>
      </w:r>
    </w:p>
    <w:p>
      <w:r>
        <w:t>- 20 - reddition de cet arrêt, la situation du R.________AG s’est détériorée. En [...] 2023, le Conseil fédéral a informé le public que R.________AG avait traversé une crise de confiance aigüe et qu’un train de mesures devaient être prises pour protéger l’économie suisse et prévenir les dommages pour le pays. Dans le cadre de l’intégration [...] R.________AG au sein [...][...], il était notamment prévu de réduire des rémunérations variables (cf. [...]). A [...] 2023, la presse faisait écho de la suppression d’un certain nombre de postes de travail en Suisse (cf. P. 3 produite le [...] 2023, à savoir un article publié à cette date dans le «Temps» et disponible sur le site Internet [...]). Compte tenu de ces faits notoires, il est très possible que si l’appelant n’avait pas quitté volontairement R.________AG, il n’aurait pas gardé son ancien salaire, composé d’une part variable importante (cf. let. C/ch. 3/b). Il ne s’agit pas ici de corriger l’état de fait retenu par la CACI en mai 2022, mais de tenir compte des faits nouveaux intervenus après cet arrêt (cf. ATF 143 III 617 consid. 3.1). Il est également douteux que l’appelant ait pu faire valoir ces vrais nova dans le cadre du recours qu’il avait interjeté devant le Tribunal fédéral. En effet, selon l’art. 99 al. 1 LTF (loi du 17 juin 2005 sur le Tribunal fédéral; RS 173.110), aucun fait nouveau ni preuve nouvelle ne peut être présenté, à moins de résulter de la décision de l'autorité précédente (cf. TF 4A_467/2019 et 4A_469/2019 du 23 mars 2022 consid. 7.3.1.3; TF 5A_467/2011 du 3 août 2011 consid. 4). Sous l’angle de la vraisemblance, on retient que l’appelant n’aurait pas continué à réaliser le revenu précédent de 22'236 fr. 25.</w:t>
      </w:r>
    </w:p>
    <w:p>
      <w:r>
        <w:rPr>
          <w:b/>
        </w:rPr>
        <w:t>E. 5.2.2.2</w:t>
      </w:r>
    </w:p>
    <w:p>
      <w:r>
        <w:t>Il est établi que dès le 1er mars 2023, l’appelant a pris un nouvel emploi auprès de la société S.________SA. Les pièces au dossier permettent de retenir que son nouveau salaire s’élève à 16'143 fr. 85 (fiches de salaires des mois de mars à décembre 2023 et extrait du compte bancaire [...] de juillet 2023 à janvier 2024). Ce montant correspond du reste au salaire fixe prévu par le contrat (salaire annuel brut de 220'000 fr., versé douze fois, soit 18'333 fr. 33, sous déduction des charges sociales par 2'189 fr. 55).</w:t>
      </w:r>
    </w:p>
    <w:p>
      <w:r>
        <w:t>- 21 - L’intimée plaide que l’appelant disposerait d’une part variable du salaire qui pourrait représenter jusqu’à 15'000 fr. pour l’année, d’où il serait cohérent de maintenir le salaire de 22'236 fr. 25, retenu par l’ordonnance attaquée. Il est vrai que l’art. 3.1.1 du contrat de travail conclu avec S.________SA prévoit une part variable importante du salaire (cf. ci-dessus, consid. 5.2.1). Cela étant, au moment de la clôture de l’instruction de la présente procédure, le 30 avril 2024, on ne disposait pas d’élément supplémentaire permettant de retenir que ce bonus, qui était conditionnel et devait être versé en avril 2024, aurait finalement été versé. L’intimée plaide également que l’appelant aurait d’autres sources de revenu, par la fortune de ses parents. Toutefois, aucun élément au dossier ne permet de le rendre vraisemblable.</w:t>
      </w:r>
    </w:p>
    <w:p>
      <w:r>
        <w:rPr>
          <w:b/>
        </w:rPr>
        <w:t>E. 5.2.2.3</w:t>
      </w:r>
    </w:p>
    <w:p>
      <w:r>
        <w:t>En définitive, le revenu effectif de l’appelant est rendu vraisemblable. Il se monte à 16'143 fr. 85. Comme on vient de le voir, aucun autre revenu supplémentaire n’est rendu vraisemblable ; il n’est pas non plus rendu vraisemblable qu’il aurait pu gagner plus après la débâcle du R.________AG. Compte tenu du temps écoulé depuis le 1er mars 2023, période qui dépasse la norme fixée par la jurisprudence à quatre mois, il y a lieu de considérer que le changement notable de revenu revêt également un caractère durable. C’est le lieu de préciser que la baisse de revenu annoncée par l’appelant dans la procédure d’assistance judiciaire n’entre en l’état pas en ligne de compte. L’instruction de la présente procédure n’a pas porté sur ce point et au moment de la clôture de cette procédure, le 30 avril 2024, ce changement (le chômage) qui serait intervenu au 1er mars 2024 ne revêtait pas encore de caractère durable (cf. consid. 3.1 ci- dessus, 2e paragraphe).</w:t>
      </w:r>
    </w:p>
    <w:p>
      <w:r>
        <w:rPr>
          <w:b/>
        </w:rPr>
        <w:t>E. 6</w:t>
      </w:r>
    </w:p>
    <w:p>
      <w:r>
        <w:t>L’intimée fait valoir que c’est par choix et non par contrainte que l’appelant a pris à bail un appartement dont le loyer, parking inclus,</w:t>
      </w:r>
    </w:p>
    <w:p>
      <w:r>
        <w:t>- 22 - s’élevait à 4'000 fr. par mois, ce qui aurait largement contribué à augmenter ses charges mensuelles au détriment de sa famille. Sur ce point, la Présidente a retenu que les parties s’étaient entendues pour vendre l’ancien logement conjugal, ce qui avait contraint l’appelant à se reloger rapidement. Elle a également constaté que la nouvelle charge locative de l’appelant se trouvait dans la même gamme de prix que celui de l’intimée. La Présidente a dès lors retenu le loyer admis par l’appelant à hauteur de 3'600 fr. par équité avec l’intimée qui faisait valoir un loyer de 3'030 francs. Ce raisonnement doit être confirmé. Par équité, on ne saurait remettre en cause le loyer de l’appelant, en épargnant celui de l’intimée, dès lors que les besoins des parties sont équivalents, les deux ayant la garde de leur enfant. En outre, comme l’avait relevé la CACI au sujet de la critique du loyer de l’intimée par l’appelant, au stade du minimum vital élargi, les frais de logement correspondant à la situation réelle de la partie concernée doivent être pris en compte dans ses charges. Au vu des ressources financières à disposition, l’appelant peut prétendre à un loyer de 3'600 fr. et l’intimée de 3'030 fr. ou de 3'138 fr. (cf. ci-dessous, consid. 6). Par ailleurs, c’est en vain que l’intimée soutient que l’appelant ne paie pas le loyer, puisque les pièces produites en première instance rendent vraisemblable le contraire (cf. P. 10 attestant le paiement des loyers de mars à juillet 2023). II. De la situation financière de l’intimée et de B.________</w:t>
      </w:r>
    </w:p>
    <w:p>
      <w:r>
        <w:rPr>
          <w:b/>
        </w:rPr>
        <w:t>E. 7</w:t>
      </w:r>
    </w:p>
    <w:p>
      <w:r>
        <w:t>Dans un autre moyen, l’appelant soutient qu’au vu de la garde partagée et du fait que l’intimée ne consacre que son mercredi après-midi à la prise en charge effective de B.________, l’on est en droit d’attendre d’elle qu’elle travaille à 90%.</w:t>
      </w:r>
    </w:p>
    <w:p>
      <w:r>
        <w:rPr>
          <w:b/>
        </w:rPr>
        <w:t>E. 7.1</w:t>
      </w:r>
    </w:p>
    <w:p>
      <w:r>
        <w:t>Il ressort de l’instruction que du temps de la vie commune les parties s’étaient entendues sur le fait que l’intimée ne travaillerait pas à un taux supérieur à 50%. Il ressort également de l’arrêt CACI de mai 2022 qu’à cette époque les parties pratiquaient, comme actuellement, la garde alternée. Dans le cadre de cette procédure, la Présidente a notamment</w:t>
      </w:r>
    </w:p>
    <w:p>
      <w:r>
        <w:t>- 23 - rejeté le grief de l’appelant tendant à ce qu’un revenu hypothétique correspondant à un taux d’activité supérieur à 50% soit imputé à l’intimée. Alors qu’il aurait pu attaquer cette appréciation au Tribunal fédéral en invoquant une constatation manifestement inexacte des faits ou la violation du droit (art. 95 al. 1 LTF) – puisqu’il ne s’agissait pas ici d’invoquer de vrais nova, irrecevables au Tribunal fédéral –, l’appelant a toutefois retiré son recours. On ne saurait dès lors revoir ce grief dans le cadre d’une procédure en modification. Il importe peu que l’appelant invoque la violation de l’art. 285 CC ou celle de l’art. 163 CC. Il convient dès lors de se limiter au revenu effectif de l’intimée.</w:t>
      </w:r>
    </w:p>
    <w:p>
      <w:r>
        <w:rPr>
          <w:b/>
        </w:rPr>
        <w:t>E. 7.2</w:t>
      </w:r>
    </w:p>
    <w:p>
      <w:r>
        <w:t>Jusqu’au 31 août 2023, l’intimée a perçu un salaire mensuel net de 5'088 fr. 50. Il ressort des pièces produites, recevables en appel, qu’elle est au chômage depuis le 1er septembre 2023. L’intimée a également rendu vraisemblable avoir effectué plusieurs recherches d’emploi depuis le mois de juillet 2023 (pièce 10 produite en appel). Au vu de la diminution du revenu et de la période écoulée depuis le début du chômage, le changement dans la situation financière de l’intimée doit être considéré comme notable et durable. Le revenu mensuel net moyen de l’intimée, allocations pour enfants compris (P. 4 et 5 de deuxième instance), peut être arrêté à 4'877 fr. (3'793 fr. 10 + 5'120 fr. 45 + 5'120 fr. 45 + 4'887 fr. 60 + 4'987 fr. 20 + 5'353 fr. 50/ 6 mois). En tenant compte des allocations familiales par 300 fr., on retient 4'577 fr. de revenu mensuel net moyen dès le 1er septembre 2023.</w:t>
      </w:r>
    </w:p>
    <w:p>
      <w:r>
        <w:rPr>
          <w:b/>
        </w:rPr>
        <w:t>E. 8</w:t>
      </w:r>
    </w:p>
    <w:p>
      <w:r>
        <w:t>Il est établi que le loyer de l’intimée a été augmenté à 3'138 fr., charges par 330 fr. comprises, dès le 1er avril 2024. Ses propres frais de logement correspondent à 2'667 fr. 30 (3'138 fr. x 85%), après déduction de la part de son fils qui se monte à 470 fr. 70 (3'138 fr. x 15/100).</w:t>
      </w:r>
    </w:p>
    <w:p>
      <w:r>
        <w:rPr>
          <w:b/>
        </w:rPr>
        <w:t>E. 9</w:t>
      </w:r>
    </w:p>
    <w:p>
      <w:r>
        <w:t>L’arrêt CACI a déjà confirmé que sur le principe, l’intimée devait acquérir un véhicule privé après la séparation. On n’y reviendra pas. Sur la base des pièces au dossier (P. 50 et 51 de première instance et</w:t>
      </w:r>
    </w:p>
    <w:p>
      <w:r>
        <w:t>- 24 - P. 12 de deuxième instance) on retient que depuis le 1er septembre 2023, les frais de transport de l’intimée s’élèvent à 898 francs.</w:t>
      </w:r>
    </w:p>
    <w:p>
      <w:r>
        <w:rPr>
          <w:b/>
        </w:rPr>
        <w:t>E. 10</w:t>
      </w:r>
    </w:p>
    <w:p>
      <w:r>
        <w:t>Pour les deux parties, on retient le forfait de télécommunications de 130 fr. au lieu des montants de 211 fr., respectivement 154 fr. retenus par la Présidente à titre de «téléphonie et internet». On précise également que les frais de coiffure retenus par l’ordonnance par 25 fr. sont inclus dans le montant de base mensuel de 400 fr. pour l’enfant.</w:t>
      </w:r>
    </w:p>
    <w:p>
      <w:r>
        <w:rPr>
          <w:b/>
        </w:rPr>
        <w:t>E. 11</w:t>
      </w:r>
    </w:p>
    <w:p>
      <w:r>
        <w:t>L’intimée rend également vraisemblable que les frais médicaux de l’enfant se montent à 12 fr. 55 en 2023 (P. 14), les frais de garde (P. 16 et 17), dès la rentrée de septembre 2023, à 492 fr. 30 (356 fr. 05 + 136 fr. 25 [soit 1'635 fr./12 mois]), les primes d’assurance-maladie de base à 144 fr. 65 et celles d’assurance-maladie complémentaire à 23 fr. 50 (P. 15). Dans le budget de l’enfant, l’intimée allègue aussi des cours de programmation par 166 fr., ainsi que les activités sportives (karaté et tennis) par 92 francs. Ces postes seront considérés dans la répartition de l’excédent et non dans les coûts directs de l’enfant. S’agissant de la répartition de l’excédent, l’intimée soutient qu’il conviendrait de retenir un montant de 2'094 fr. 05 résultant de la répartition usuelle (1/5 pour un enfant). La répartition de l’excédent sera donnée par les tableaux ci-dessous. Dans la mesure où les montants qui y figurent sont inférieurs à 400 fr. retenus par la Présidente, il n’y aura pas lieu d’examiner si on retient un montant supérieur à 400 fr. pour des motifs éducatifs.</w:t>
      </w:r>
    </w:p>
    <w:p>
      <w:r>
        <w:rPr>
          <w:b/>
        </w:rPr>
        <w:t>E. 12</w:t>
      </w:r>
    </w:p>
    <w:p>
      <w:r>
        <w:t>Au vu de la différence très faible existant entre l’ancien loyer (3'030 fr.) et le nouveau loyer de l’intimée (3'138 fr.) et entre les anciennes primes d’assurance maladie et les nouvelles primes de l’enfant</w:t>
      </w:r>
    </w:p>
    <w:p>
      <w:r>
        <w:t>- 25 - (entre soit 208 fr. retenus par la Présidente et 167 fr. 60 (soit 144 fr. + 23 fr. 50), il n’y a pas lieu de prévoir une période d’entretien courant dès le 1er janvier 2024. Les changements dans ces deux derniers postes seront intégrés dans la période courant du 1er septembre 2023.</w:t>
      </w:r>
    </w:p>
    <w:p>
      <w:r>
        <w:rPr>
          <w:b/>
        </w:rPr>
        <w:t>E. 13</w:t>
      </w:r>
    </w:p>
    <w:p>
      <w:r>
        <w:t>Au vu des griefs examinés ci-dessus et les postes non critiqués en appel, la situation financière des parties et celle de l’enfant se présente comme il suit :</w:t>
      </w:r>
    </w:p>
    <w:p>
      <w:r>
        <w:rPr>
          <w:b/>
        </w:rPr>
        <w:t>E. 13.1</w:t>
      </w:r>
    </w:p>
    <w:p>
      <w:r>
        <w:t>Du 1er février au 31 août 2023</w:t>
      </w:r>
    </w:p>
    <w:p>
      <w:r>
        <w:t>- 26 -</w:t>
      </w:r>
    </w:p>
    <w:p>
      <w:r>
        <w:t>- 27 - Au vu de ces tableaux, la clé de répartition de l’excédent donne 356 fr. 05 (1'780 fr. 20/5). Toutefois, dans la mesure où le domicile de l’enfant se trouve chez sa mère et que c’est celle-ci qui doit s’acquitter des frais de loisirs à hauteur de 258 fr. (166 fr. + 92 fr.), ce dernier montant doit être versé à la mère, et non 163 fr. 40. La contribution d’entretien due s’élève ainsi à 3'033 fr. 40 (2'286 fr. 70 de coûts directs – 740 fr. coûts assumés directement par l’appelant + 1'228 fr. 70 de la moitié de frais de contribution de prise en charge + 258 fr. de participation à l’excédent), arrondie à 3'030 francs. La pension pour l’épouse s’élève à 720 fr. (montant arrondi), soit 2/5 de 1'780 fr. 20.</w:t>
      </w:r>
    </w:p>
    <w:p>
      <w:r>
        <w:rPr>
          <w:b/>
        </w:rPr>
        <w:t>E. 13.2</w:t>
      </w:r>
    </w:p>
    <w:p>
      <w:r>
        <w:t>Dès le 1er septembre 2023</w:t>
      </w:r>
    </w:p>
    <w:p>
      <w:r>
        <w:t>- 28 -</w:t>
      </w:r>
    </w:p>
    <w:p>
      <w:r>
        <w:t>- 29 -</w:t>
      </w:r>
    </w:p>
    <w:p>
      <w:r>
        <w:t>- 30 - Dès le 1er septembre 2023, la contribution d’entretien due par l’appelant se monte à 3'450 fr. (2'360 fr. 15 de coûts directs – 740 fr. de coûts pris en charge directement par l’appelant + 1'645 fr. 35 de frais de contribution de prise en charge + 184 fr. 60 de participation à l’excédent). La pension à l’épouse doit être arrêtée à 360 fr. (montant arrondi), soit (2/5 de 912 fr. 50).</w:t>
      </w:r>
    </w:p>
    <w:p>
      <w:r>
        <w:rPr>
          <w:b/>
        </w:rPr>
        <w:t>E. 14</w:t>
      </w:r>
    </w:p>
    <w:p>
      <w:r>
        <w:t>En définitive, l’appel doit être partiellement admis et l’ordonnance attaquée réformée dans le sens des considérants qui précèdent. A teneur de l'art. 106 al. 1 CPC, les frais – à savoir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Il n’y a pas lieu de se prononcer sur les frais de première instance, leur répartition ayant été renvoyée au sort de la cause au fond.</w:t>
      </w:r>
    </w:p>
    <w:p>
      <w:r>
        <w:t>- 31 - Vu l’issue de la procédure de deuxième instance et la nature de la cause, les frais judiciaires de deuxième instance, arrêtés à 1’200 fr. pour l’émolument de la procédure d’appel (art. 63 al. 1 et 65 al. 2 TFJC [tarif des frais judiciaires civils du 28 septembre 2010 ; BLV 270.11.5]) doivent être mis à raison de moitié, par 600 fr., à la charge de chaque partie. Les dépens de deuxième instance peuvent être compensés. Par ces motifs, le Juge unique de la Cour d’appel civile prononce : I. L’appel est partiellement admis. II. L’ordonnance est réformée aux chiffres I et II de son dispositif comme il suit : I. d i t que Z.________ est tenu de contribuer à l’entretien de son fils B.________, né le 15 mars 2015, par le régulier versement d’une pension mensuelle, payable le premier de chaque mois en mains de P.________, d’un montant de 3’030 fr. (trois mille trente francs), allocations familiales en sus, du 1er février jusqu’au 31 août 2023 et de 3'450 fr. (trois mille quatre cent cinquante francs) dès le 1er septembre 2023. II. d i t que Z.________ est tenu de contribuer à l’entretien de son épouse P.________, par le régulier versement d’une pension mensuelle, payable le premier de chaque mois en ses mains, d’un montant de 720 fr. (sept cent vingt francs) du 1er février au 31 août 2023, et de 360 fr. (trois cent soixante francs) dès le 1er septembre 2023. L’ordonnance est confirmée pour le surplus. III. Les frais judiciaires de deuxième instance, arrêtés à 1’200 fr. (mille deux cents francs), sont mis par 600 fr. (six cents francs)</w:t>
      </w:r>
    </w:p>
    <w:p>
      <w:r>
        <w:t>- 32 - à la charge de l’appelant Z.________ et par 600 fr. (six cents francs) à la charge de l’intimée P.________. L'intimée P.________ doit verser à l'appelant Z.________ la somme de 600 fr. (six cents francs) à titre de restitution partielle d’avance de frais de deuxième instance. IV. Les dépens de deuxième instance sont compensés. V. L’arrêt est exécutoire. Le juge unique : La greffière:</w:t>
      </w:r>
    </w:p>
    <w:p>
      <w:r>
        <w:t>- 33 - Du Le présent arrêt, dont la rédaction a été approuvée à huis clos, est notifié en expédition complète à : - Me Matthieu Genillod, avocat (pour Z.________) - Me Bastien Geiger, avocat (pour P.________) et communiqué, par l'envoi de photocopies, à : - Mme la Présidente du Tribunal civil de l’arrondissement de Lausanne Le juge unique de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