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TD22.040418 vom 19. Mai 2023</w:t>
      </w:r>
    </w:p>
    <w:p>
      <w:r>
        <w:t>VD Tribunal cantonal, 2023-05-19, FR</w:t>
      </w:r>
    </w:p>
    <w:p>
      <w:r>
        <w:rPr>
          <w:b/>
        </w:rPr>
        <w:t xml:space="preserve">Quelle: </w:t>
      </w:r>
      <w:r>
        <w:t>https://mcp.opencaselaw.ch/entscheid/vd_gerichte_TD22.040418</w:t>
      </w:r>
    </w:p>
    <w:p>
      <w:r>
        <w:t>FR: VD_GERICHTE TD22.040418 du 19 mai 2023</w:t>
      </w:r>
    </w:p>
    <w:p>
      <w:r>
        <w:t>IT: VD_GERICHTE TD22.040418 del 19 maggio 2023</w:t>
      </w:r>
    </w:p>
    <w:p>
      <w:pPr>
        <w:pStyle w:val="Heading2"/>
      </w:pPr>
      <w:r>
        <w:t>Erwägungen</w:t>
      </w:r>
    </w:p>
    <w:p>
      <w:r>
        <w:rPr>
          <w:b/>
        </w:rPr>
        <w:t>E. 1</w:t>
      </w:r>
    </w:p>
    <w:p>
      <w:r>
        <w:t>Par ordonnance de mesures provisionnelles du 6 avril 2023, le Prési-dent du Tribunal civil de l’arrondissement de la Broye et du Nord vaudois a dit que A.R.________ bénéficierait d’un libre et large droit de visite sur sa fille [...], née le [...], d’entente avec B.R.________, et a dit qu’à défaut d’entente, A.R.________ aurait sa fille auprès d’elle un week-end sur deux, du vendredi à 18h00 au dimanche à 18h00, et tous les mercredis après-midi, de la sortie de l’école et jusqu’à 18h00, interdiction étant faite à la prénommée de consommer de l’alcool lors du droit de visite (I), a dit que les frais judiciaires et les dépens étaient renvoyés à la décision finale (II) et a rejeté toutes autres et plus amples conclusions (III). Adressée sous pli recommandé, cette ordonnance a été notifiée au conseil de A.R.________ le 11 avril 2023.</w:t>
      </w:r>
    </w:p>
    <w:p>
      <w:r>
        <w:rPr>
          <w:b/>
        </w:rPr>
        <w:t>E. 2</w:t>
      </w:r>
    </w:p>
    <w:p>
      <w:r>
        <w:t>Par acte daté du 21 avril 2023, envoyé sous pli simple et dont la date figurant sur le timbre postal est illisible, réceptionné par le greffe du Tribunal cantonal le 24 avril 2023, A.R.________ (ci-après : l’appelante) a formé appel contre l’ordonnance du 6 avril 2023, en concluant, avec suite de frais et dépens, à sa réforme en ce sens qu’elle doive bénéficier d’un libre et large droit de visite sur sa fille [...], à exercer d’entente avec B.R.________ (ci-après : l’intimé), et qu’à défaut d’entente, elle puisse avoir sa fille auprès d’elle un week-end sur deux, du vendredi de la sortie de l’école au lundi au retour de l’école, le mardi soir de la sortie de l’école au mercredi soir à 18h00 et la moitié des vacances scolaires et des jours fériés alternativement, à charge pour le parent visiteur d’aller chercher l’enfant. Subsidiaire-ment, elle a en substance requis des modalités de droit de visite légèrement moins large. Par courrier du 1er mai 2023, le juge unique a informé l’appelante que son écriture était datée du 21 avril 2023, de même que sa lettre d’accompagnement, et que cette date correspondait au dernier jour du délai d’appel, l’ordonnance du 6 avril 2023 lui ayant été notifiée le 11 avril 2023. Il a ajouté que la vérification de la date de l’envoi de l’appel</w:t>
      </w:r>
    </w:p>
    <w:p>
      <w:r>
        <w:t>- 3 - posait problème, dès lors que l’acte n’avait pas été adressé sous pli recommandé et que le tampon postal apposé sur l’enveloppe était illisible, précisant qu’elle n’avait pas fourni d’explication sur les circonstances de la remise du pli à la poste. Il a fixé à l’appelante un délai au 19 mai 2023 pour formuler d’éventuel-les observations sur ce point. Le 3 mai 2023, l’appelante a, par son conseil, confirmé que son acte d’appel avait été posté le 21 avril 2023, qu’il s’agissait d’un vendredi et que le greffe avait, de manière cohérente, réceptionné l’acte un lundi, de sorte qu’il n’y avait pas de raison de douter du dépôt en temps utile de l’acte d’appel. Elle a en outre produit un extrait de ses fichiers informatiques concernant le dossier, contenant des der-nières modifications au 21 avril 2023, et les horaires de la relève du courrier de la poste d’[...]. Le 5 mai 2023, le juge unique a transmis au conseil de l’appelante une copie de l’enveloppe, avec le timbre postal, de son envoi du 21 avril 2023 à la Cour d’appel civile. Par courrier du 5 mai 2023, l’intimé a, par l’intermédiaire de son conseil, indiqué qu’il n’avait pas gardé l’enveloppe ayant contenu le double de l’acte d’appel qui lui avait été adressé par l’appelante, en précisant qu’il ne doutait pas de « l’hon-nêteté » de sa consœur. Par courrier du 9 mai 2023, l’appelante a, par l’intermédiaire de son conseil, relevé que l’intimé s’estimait convaincu par ses explications et la documen-tation remise et que les parties sollicitaient conjointement que l’appel soit considéré comme déposé en temps utile. Elle a demandé au juge unique qu’il donne suite à cet accord de procédure et poursuive l’instruction de l’appel. Le 12 mai 2023, le conseil de l’intimé a contresigné cette écriture, sous la mention « Pour accord, au nom de M. [...] ».</w:t>
      </w:r>
    </w:p>
    <w:p>
      <w:r>
        <w:rPr>
          <w:b/>
        </w:rPr>
        <w:t>E. 3</w:t>
      </w:r>
    </w:p>
    <w:p>
      <w:r>
        <w:t>- 4 -</w:t>
      </w:r>
    </w:p>
    <w:p>
      <w:r>
        <w:rPr>
          <w:b/>
        </w:rPr>
        <w:t>E. 3.1</w:t>
      </w:r>
    </w:p>
    <w:p>
      <w:r>
        <w:t>; TF 6B_157/2020 du 7 février 2020 consid. 2.3 et la référence citée). Les parties doivent donc produire les preuves du dépôt en temps utile avant l’expiration du délai de recours, ou à tout le moins les désigner dans l’acte de recours, ses annexes, ou encore sur l’enveloppe (ATF 147 IV 526 consid. 3.1 ; TF 6B_154/2020 du 7 février 2020 consid. 3.1.2).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 TF 6B_659/2021 du 24 février 2022 consid. 2.1 ; TF 6B_1079/2021 du 22 novembre 2021 consid. 2.1, destiné à la publication, et les références citées ; TF 4A_207/2019 du 17 août 2020 consid. 4.3).</w:t>
      </w:r>
    </w:p>
    <w:p>
      <w:r>
        <w:t>- 6 -</w:t>
      </w:r>
    </w:p>
    <w:p>
      <w:r>
        <w:rPr>
          <w:b/>
        </w:rPr>
        <w:t>E. 3.1.1</w:t>
      </w:r>
    </w:p>
    <w:p>
      <w:r>
        <w:t>; TF 6B_157/2020 du 7 février 2020 consid. 2.3 ; TF 4A_317/2019 du 30 juin 2020 consid. 1.2). Ainsi, il n’est pas admissible d’indiquer à l’autorité judiciaire, pour la première fois après l’expiration du délai de recours, que le pli litigieux aurait été déposé en présence de témoins, ou encore d’affirmer qu’il avait été déposé dans les délais tout en évoquant un enregistrement vidéo tenu à la disposition du Tribunal fédéral. Cette manière de faire ne permet pas de renverser la présomption découlant du sceau postal, ni celle de la tardiveté du recours (ATF 147 IV 526 consid.</w:t>
      </w:r>
    </w:p>
    <w:p>
      <w:r>
        <w:rPr>
          <w:b/>
        </w:rPr>
        <w:t>E. 3.2</w:t>
      </w:r>
    </w:p>
    <w:p>
      <w:r>
        <w:t>En l’espèce, l’appelante a déposé son acte d’appel, daté du vendredi 21 avril 2023, sous pli simple, alors même qu’elle était assistée par un conseil qui ne pouvait ignorer le risque inhérent à ce mode d’envoi. Celui-ci a été réceptionné par le greffe du Tribunal cantonal le lundi 24 avril 2023. La date du timbre postal apposé par la poste figurant sur l’enveloppe n’est toutefois pas suffisamment lisible pour prouver que celui-ci a bien été déposé le vendredi 21 avril 2023, à savoir le dernier jour du délai d’appel, l’ordonnance entreprise ayant été notifiée à l’appelante le 11 avril 2023 et le délai pour déposer appel étant de dix jours (cf. art. 142 al. 1, 143 al. 1 et 314 al. 1 CPC). Ainsi, on ne peut exclure que l’envoi contenant le mémoire d’appel ait été déposé les 22 ou 23 avril 2023 et que l’appel soit par conséquent tardif. L’appelante n’a fourni aucune explication au sujet de la date de l’envoi de son appel durant le délai prévu par l’art. 314 al. 1 CPC. Elle ne s’est expliquée qu’après l’échéance de celui-ci, sur requête du juge de céans. A cet égard, on relève que si les informations données et les pièces produites par l’intéressée peuvent permettre de faire des déductions logiques pour considérer que l’appel aurait peut-être été déposé en temps utile, celles-ci ne sont en réalité que des suppositions, qui ne sauraient, comme l’a retenu la Cour d’appel civile dans un arrêt récent, être suffisantes pour établir la date de la remise d’un envoi à la poste (cf. CACI</w:t>
      </w:r>
    </w:p>
    <w:p>
      <w:r>
        <w:rPr>
          <w:b/>
        </w:rPr>
        <w:t>E. 4</w:t>
      </w:r>
    </w:p>
    <w:p>
      <w:r>
        <w:t>En définitive, l’appel doit être déclaré irrecevable. Il ne sera pas perçu de frais judiciaires de deuxième instance (art. 11 TFJC [tarif des frais judiciaires civils du 28 septembre 2010 ; BLV 270.11.5]). Par ces motifs, le Juge unique de la Cour d’appel civile prononce : I. L’appel est irrecevable. II. L’arrêt, rendu sans frais judiciaires, est exécutoire. Le juge unique : Le greffier :</w:t>
      </w:r>
    </w:p>
    <w:p>
      <w:r>
        <w:t>- 8 - Du Le présent arrêt, dont la rédaction a été approuvée à huis clos, est notifié en expédition complète à : - Me Manuel Ryter Godel, avocate (pour A.R.________), - Me Laurent Gilliard, avocat (pour B.R.________), et communiqué, par l’envoi de photocopies, à : - M. le Président du Tribunal civil de l’arrondissement de la Broye et du Nord vaudois, - Direction générale de l’enfance et de la jeunesse, [...],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