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TD22.038666 vom 21. Mai 2025</w:t>
      </w:r>
    </w:p>
    <w:p>
      <w:r>
        <w:t>VD Tribunal cantonal, 2025-05-21, FR</w:t>
      </w:r>
    </w:p>
    <w:p>
      <w:r>
        <w:rPr>
          <w:b/>
        </w:rPr>
        <w:t xml:space="preserve">Quelle: </w:t>
      </w:r>
      <w:r>
        <w:t>https://mcp.opencaselaw.ch/entscheid/vd_gerichte_TD22.038666</w:t>
      </w:r>
    </w:p>
    <w:p>
      <w:r>
        <w:t>FR: VD_GERICHTE TD22.038666 du 21 mai 2025</w:t>
      </w:r>
    </w:p>
    <w:p>
      <w:r>
        <w:t>IT: VD_GERICHTE TD22.038666 del 21 maggio 2025</w:t>
      </w:r>
    </w:p>
    <w:p>
      <w:pPr>
        <w:pStyle w:val="Heading2"/>
      </w:pPr>
      <w:r>
        <w:t>Erwägungen</w:t>
      </w:r>
    </w:p>
    <w:p>
      <w:r>
        <w:rPr>
          <w:b/>
        </w:rPr>
        <w:t>E. 1</w:t>
      </w:r>
    </w:p>
    <w:p>
      <w:r>
        <w:t>L’intimé, né le [...] 1979, de nationalité [...], et l’appelante, née le [...] 1984, de nationalité [...], se sont mariés le [...] 2018 à [...]. Les enfants C.Q.________, née le [...], et D.Q.________, né le [...] 2020, sont issus de cette union. L’intimé est également le père de deux enfants mineurs issus d’une précédente union, qui vivent auprès de leur mère en [...]. Il est en outre le père de deux autres enfants mineurs, issus de sa relation actuelle.</w:t>
      </w:r>
    </w:p>
    <w:p>
      <w:r>
        <w:rPr>
          <w:b/>
        </w:rPr>
        <w:t>E. 1.1</w:t>
      </w:r>
    </w:p>
    <w:p>
      <w:r>
        <w:t>Selon l’art. 308 al. 1 let b CPC (Code de procédure civile du 19 décembre 2008 ; RS 272), l’appel est ouvert contre les décisions de première instance sur les mesures provisionnelles, dans les causes non patrimoniales ou dont la valeur litigieuse, au dernier état des conclusions</w:t>
      </w:r>
    </w:p>
    <w:p>
      <w:r>
        <w:t>- 8 - devant l’autorité inférieure, est de 10'000 fr. au moins (art. 308 al. 2 CPC). La procédure sommaire étant applicable (art. 248 let. d et 271 let. a, par renvoi de l’art. 276 al. 1 CPC), le délai pour l’introduction de l’appel est de dix jours (art. 314 al. 1 aCPC).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disposant d’un intérêt digne de protection (art. 59 al. 2 let. a CPC) contre une décision sujette à appel (cf. art. 92 al. 2 CPC), l’appel est recevable. 2.</w:t>
      </w:r>
    </w:p>
    <w:p>
      <w:r>
        <w:rPr>
          <w:b/>
        </w:rPr>
        <w:t>E. 2</w:t>
      </w:r>
    </w:p>
    <w:p>
      <w:r>
        <w:t>a) Par prononcé de mesures protectrices de l’union conjugale du 17 novembre 2020, la Présidente du Tribunal civil de l’arrondissement de La Côte a notamment astreint l’intimé à contribuer, dès le 1er octobre 2020, à l’entretien des enfants C.Q.________ et D.Q.________ par le versement de pensions mensuelles de 1'160 fr., respectivement 1'150 fr., allocations familiales en sus. b) Par arrêt du 11 février 2021, la Juge unique de la Cour de céans a réformé l’ordonnance précitée et astreint l’intimé à contribuer, dès le 1er octobre 2020, à l’entretien de ses enfants par le versement de pensions mensuelles de 1'481 fr. par enfant, allocations familiales en sus.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 TF 5A_855/2017 du 11 avril 2018 consid. 4.3.2 et les références citées).</w:t>
      </w:r>
    </w:p>
    <w:p>
      <w:r>
        <w:t>- 9 - En application de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(ATF 144 III 349 consid. 4.2.1 et les références citées). Par ailleurs, la maxime d’office s’applique aux questions relatives aux enfants mineurs, de sorte que le juge n’est pas limité par les conclusions des parties (art. 296 al. 3 CPC).</w:t>
      </w:r>
    </w:p>
    <w:p>
      <w:r>
        <w:rPr>
          <w:b/>
        </w:rPr>
        <w:t>E. 2.3</w:t>
      </w:r>
    </w:p>
    <w:p>
      <w:r>
        <w:t>La présente cause étant gouvernée par la maxime inquisitoire illimitée, les pièces produites en appel sont recevables jusqu’aux délibérations (art. 317 al. 1bis CPC – applicable aux procédures en cours au 1er janvier 2025 [art. 407f CPC]). En revanche, les faits allégués les 26 et 27 novembre 2024 par l’appelante, ainsi que les pièces produites à leur appui, sont irrecevables, dès lors qu’ils ont été invoqués après que la cause a été gardée à juger (ATF 142 III 413 consid. 2.2.5, JdT 2017 II 153 ; TF 5A_389/2022 du 29 novembre 2022 consid. 4.1 ; TF 4A_467/2019 du 23 mars 2022 consid. 7.3.1.2, in Revue suisse de procédure civile [RSPC] 2022 p. 439).</w:t>
      </w:r>
    </w:p>
    <w:p>
      <w:r>
        <w:rPr>
          <w:b/>
        </w:rPr>
        <w:t>E. 2.4</w:t>
      </w:r>
    </w:p>
    <w:p>
      <w:r>
        <w:t>Faute d’être rattachées à une critique suffisamment motivée (cf. infra consid. 4.3.2, 4e par. in fine), les réquisitions de pièces formulées par l’appelante (cf. art. 316 al. 3 CPC), soit tout document permettant d’établir l’enregistrement et la potentielle dissolution des sociétés détenues par l’intimé, d’une part, et tout document permettant d’établir les revenus ou des confirmer l’absence de revenus perçus par l’intimé au travers des sociétés qu’il détient, d’autre part, doivent être rejetées. 3.</w:t>
      </w:r>
    </w:p>
    <w:p>
      <w:r>
        <w:rPr>
          <w:b/>
        </w:rPr>
        <w:t>E. 3</w:t>
      </w:r>
    </w:p>
    <w:p>
      <w:r>
        <w:t>a) Par ordonnance de mesures protectrices de l’union conjugale du 25 mai 2022, la Présidente du Tribunal civil de l’arrondissement de La Côte, statuant sur une requête en modification de mesures protectrices de l’union conjugale déposée par l’intimé, a notamment astreint celui-ci à contribuer, dès le 1er mars 2022, à l’entretien de ses enfants C.Q.________ et D.Q.________ par le régulier</w:t>
      </w:r>
    </w:p>
    <w:p>
      <w:r>
        <w:t>- 5 - versement de pensions mensuelles de 535 fr. par enfant, allocations familiales non comprises et dues en sus. En droit, l’autorité précitée a retenu que la situation s’était modifiée depuis le 11 février 2021, les charges de l’intimé ayant durablement augmenté. Elle a en outre considéré que la résiliation par l’intéressé du bail relatif à son appartement d’[...], avec effet au 17 février 2022, en vue de son départ en [...], était contraire à l’intérêt des enfants susnommés, dès lors que la perte de son adresse de domicile en Suisse privait l’intimé, qui avait été licencié le 21 décembre 2021 pour le 28 février 2022, de droit aux indemnités de l’assurance‑chômage. Or, celles- ci lui auraient permis de subvenir, à tout le moins partiellement, à l’entretien de ses enfants. L’intimé n’avait donc pas tout mis en œuvre pour rester en Suisse et limiter la diminution de sa capacité contributive découlant de son licenciement. Partant, un revenu hypothétique équivalant aux indemnités de chômage auxquelles l’intéressé aurait pu prétendre en Suisse, correspondant à 80 % de son dernier salaire, devait lui être imputé. b) Par arrêt du 26 janvier 2023, la Juge unique de la Cour de céans, statuant sur les appels interjetés par chacune des parties contre l’ordonnance précitée, a en substance rejeté l’appel de l’intimé et admis partiellement l’appel de l’appelante, l’ordonnance ayant été réformée en ce sens que l’intimé a été astreint à contribuer à l’entretien des enfants C.Q.________ et D.Q.________ par le versement de pensions mensuelles de 1'135 fr. par enfant du 1er mars au 31 juillet 2022, puis de 980 fr. par enfant du 1er août au 30 septembre 2022, et enfin de 930 fr. par enfant dès le 1er octobre 2022, ces montants s’entendant allocations familiales dues en sus. L’autorité d’appel a confirmé le raisonnement de l’autorité de première instance relativement au revenu hypothétique imputé à l’intimé, tant sur son principe que dans sa quotité, relevant que vingt-quatre jours s’étaient écoulés entre le licenciement de l’intéressé et la résiliation de son bail en vue de son départ pour la France, de sorte qu’il ne pouvait être</w:t>
      </w:r>
    </w:p>
    <w:p>
      <w:r>
        <w:t>- 6 - retenu qu’il avait vainement tenté de se reloger en Suisse. Il pouvait ainsi être exigé de l’intimé, père d’enfants mineurs, de réaliser le revenu qu’il aurait pu percevoir en restant en Suisse, lequel s’élevait à tout le moins aux indemnités de l’assurance‑chômage auxquelles il aurait eu droit.</w:t>
      </w:r>
    </w:p>
    <w:p>
      <w:r>
        <w:rPr>
          <w:b/>
        </w:rPr>
        <w:t>E. 3.1</w:t>
      </w:r>
    </w:p>
    <w:p>
      <w:r>
        <w:t>Que la cause soit soumise à la maxime des débats ou à la maxime inquisitoire, il incombe à l’appelant de motiver son appel (art. 311 al. 1 CPC). Même si l'autorité d'appel applique le droit d'office (art. 57 CPC), le procès se présente différemment en seconde instance, vu la décision déjà rendue. L’appelant doit donc s'efforcer d'établir que, sur les</w:t>
      </w:r>
    </w:p>
    <w:p>
      <w:r>
        <w:t>- 10 - faits constatés ou sur les conclusions juridiques qui en ont été tirées, la décision attaquée est entachée d'erreurs (ATF 147 Ill 176 consid. 4.2.1, in RSPC 2021 p. 252 ; TF 5A_524/2023 du 14 décembre 2023 consid. 3.3.1).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5A_524/2023, loc. cit.).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(CACI 3 juillet 2024/307, CACI 21 août 2023/336 consid. 4.1 ; CACI 4 mai 2021/212 consid. 3.2).</w:t>
      </w:r>
    </w:p>
    <w:p>
      <w:r>
        <w:rPr>
          <w:b/>
        </w:rPr>
        <w:t>E. 3.2</w:t>
      </w:r>
    </w:p>
    <w:p>
      <w:r>
        <w:t>En l’espèce, on constate à la lecture du mémoire d’appel que celui-ci commence par une partie « Du rappel des faits » (cf. appel, pp. 4 à 7), dans laquelle l’appelante expose un rappel des faits de son cru. Dès lors que l’intéressée n’accompagne aucun desdits faits d’un grief détaillé de constatation incomplète ou inexacte des faits, les vingt paragraphes y relatifs s’avèrent irrecevables, dans la mesure où ils s’écartent des faits retenus par le président. Il n’appartient en effet pas à la juge unique de céans de comparer l’état de fait présenté par l’appelante avec celui retenu par le président pour y déceler d’éventuelles divergences, ni, le cas échéant, de supputer les motifs pour lesquels il y aurait lieu de modifier l’état de fait dans le sens indiqué par ces divergences. Il ne sera ainsi tenu aucun compte de cette partie, irrecevable, de l’appel. 4.</w:t>
      </w:r>
    </w:p>
    <w:p>
      <w:r>
        <w:rPr>
          <w:b/>
        </w:rPr>
        <w:t>E. 4</w:t>
      </w:r>
    </w:p>
    <w:p>
      <w:r>
        <w:t>Par demande unilatérale du 12 septembre 2022, l’appelante a notamment conclu au divorce.</w:t>
      </w:r>
    </w:p>
    <w:p>
      <w:r>
        <w:rPr>
          <w:b/>
        </w:rPr>
        <w:t>E. 4.1</w:t>
      </w:r>
    </w:p>
    <w:p>
      <w:r>
        <w:t>L’appelante reproche au président d’avoir considéré qu’il ne se justifiait plus d’imputer un revenu hypothétique à l’intimé. Celui-ci ne fournirait en effet pas les efforts pouvant être attendus de lui pour retrouver un emploi et satisfaire à ses obligations d’entretien. L’appelante soutient en particulier que les recherches d’emploi effectuées par l’intimé</w:t>
      </w:r>
    </w:p>
    <w:p>
      <w:r>
        <w:t>- 11 - ne seraient pas établies, respectivement ne seraient pas sérieuses, et qu’il y aurait lieu de tenir compte chez l’intéressé d’un revenu correspondant au salaire qu’il percevait auprès de son dernier employeur. Au demeurant, l’intimé aurait créé plusieurs sociétés depuis son licenciement intervenu à la fin de l’année 2021, ce qui exclurait de retenir qu’il est sans ressources.</w:t>
      </w:r>
    </w:p>
    <w:p>
      <w:r>
        <w:rPr>
          <w:b/>
        </w:rPr>
        <w:t>E. 4.2.1</w:t>
      </w:r>
    </w:p>
    <w:p>
      <w:r>
        <w:t>Une fois que des mesures provisionnelles dans la procédure de divorce ont été prononcées, elles ne peuvent être modifiées qu'aux conditions de l’art. 179 CC (applicable par renvoi de l’art. 276 al. 1 CPC). Aux termes de l’art. 179 al. 1, 1re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129 III 60 consid. 2). Le moment déterminant pour apprécier si des circonstances nouvelles se sont produites est la date du dépôt de la demande de modification des mesures provisoires ou protectrices (ATF 137 III 604 consid. 4.1.1 ; TF 5A_218/2012 du 29 juin 2012 consid. 3.3.2, in FamPra.ch 2012 p. 1099).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5A_140/2013 du 28 mai 2013 consid. 4.1).</w:t>
      </w:r>
    </w:p>
    <w:p>
      <w:r>
        <w:rPr>
          <w:b/>
        </w:rPr>
        <w:t>E. 4.2.2</w:t>
      </w:r>
    </w:p>
    <w:p>
      <w:r>
        <w:t>Les parties ne peuvent pas invoquer, pour fonder leur requête en modification, une mauvaise appréciation des circonstances initiales, que le motif relève du droit ou de l’établissement des faits allégués sur la</w:t>
      </w:r>
    </w:p>
    <w:p>
      <w:r>
        <w:t>- 12 - base des preuves déjà offertes ; pour faire valoir de tels motifs, seules les voies de recours sont ouvertes (TF 5A_895/2022 du 17 juillet 2023 consid. 10.2.1 ; TF 5A_42/2022 du 19 mai 2022 consid. 4.1). Il y a motif à modification lorsque le pronostic sur lequel s’est fondé de manière déterminante le tribunal pour la fixation de la contribution ne s’est pas réalisé comme prévu (TF 5A_507/2020 du 2 mars 2021 consid. 5.2.3, in FamPra.ch 2021 p. 492). Ainsi, 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 réalisées, les raisons pour lesquelles les expectatives du tribunal ne se sont pas réalisées (TF 5D_130/2018 du 19 décembre 2018 consid. 2.3 ; TF 5A_928/2016 du 22 juin 2017 consid. 3.3). En revanche, le tribunal n’aura pas à revoir les facteurs déjà pris en compte dans la décision initiale (âge, répartition des rôles pendant le mariage, chômage, expérience professionnelle et situation du marché du travail) (TF 5A_928/2016 précité, consid. 5.2).</w:t>
      </w:r>
    </w:p>
    <w:p>
      <w:r>
        <w:rPr>
          <w:b/>
        </w:rPr>
        <w:t>E. 4.2.3.1</w:t>
      </w:r>
    </w:p>
    <w:p>
      <w:r>
        <w:t>Pour fixer la contribution d’entretien selon l’art. 176 al. 1 ch. 1 CC, applicable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du 16 septembre 2020, consid. 4.2). Il se peut qu’à la suite de cet examen, le juge doive modifier la convention conclue pendant la vie commune (ATF 138 III 97 consid. 2.2, JdT 2012 II 479 ; ATF 137 III 385 consid. 3.1 ; TF 5A_267/2018, loc. cit.), le cas échéant en imputant un revenu hypothétique à l’époux concerné.</w:t>
      </w:r>
    </w:p>
    <w:p>
      <w:r>
        <w:t>- 13 -</w:t>
      </w:r>
    </w:p>
    <w:p>
      <w:r>
        <w:rPr>
          <w:b/>
        </w:rPr>
        <w:t>E. 4.2.3.2</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w:t>
      </w:r>
    </w:p>
    <w:p>
      <w:r>
        <w:rPr>
          <w:b/>
        </w:rPr>
        <w:t>E. 4.2.3.3</w:t>
      </w:r>
    </w:p>
    <w:p>
      <w:r>
        <w:t>Un débiteur d’entretien vivant à l’étranger ne peut se voir imputer un revenu hypothétique de niveau suisse, s’il ne peut juridiquement et dans les faits être exigé de lui de s’établir en Suisse et s’il avait suffisamment de raisons personnelles et sociales de quitter la Suisse. Dans un tel cas, il convient de se baser sur le revenu que le débiteur d’entretien perçoit ou pourrait percevoir en son lieu de séjour étranger (FamPra.ch. 2011 p. 510 ; CACI 13 avril 2022/208).</w:t>
      </w:r>
    </w:p>
    <w:p>
      <w:r>
        <w:rPr>
          <w:b/>
        </w:rPr>
        <w:t>E. 4.3.1</w:t>
      </w:r>
    </w:p>
    <w:p>
      <w:r>
        <w:t>Le président a constaté que l’intimé, qui s’était vu imputer un revenu hypothétique correspondant aux indemnités qu’il aurait perçues de l’assurance‑chômage s’il n’avait pas quitté la Suisse en février 2022, demeurait sans emploi ni revenu à l’issue du délai cadre durant lequel il aurait pu percevoir lesdites indemnités, arrivé à échéance le 1er mars 2024. Le président a ensuite considéré que l’intimé avait établi avoir vainement cherché du travail durant cette période, de sorte qu’il ne se justifiait plus de lui imputer un revenu hypothétique. Le minimum vital strict de l’intimé n’étant pas couvert, les pensions mises à sa charge en faveur des enfants communs des parties devaient être supprimées.</w:t>
      </w:r>
    </w:p>
    <w:p>
      <w:r>
        <w:rPr>
          <w:b/>
        </w:rPr>
        <w:t>E. 4.3.2</w:t>
      </w:r>
    </w:p>
    <w:p>
      <w:r>
        <w:t>Si l’appelante ne conteste pas que les conditions de l’art. 179 al. 1 CC, permettant qu’il soit entré en matière sur la requête de l’intimé, sont en l’espèce remplies, elle soutient qu’il n’y aurait pas lieu de modifier</w:t>
      </w:r>
    </w:p>
    <w:p>
      <w:r>
        <w:t>- 14 - les contributions d’entretien litigieuses. L’appelante fait ainsi valoir qu’un nouveau revenu hypothétique, correspondant au salaire qu’il percevait lorsqu’il a été licencié d’[...], devrait être imputé à l’intimé, au motif que celui-ci aurait « […] dû retrouver un travail depuis son licenciement […] ». Elle invoque en particulier le fait que l’intéressé n’aurait produit aucune lettre de motivation et que ses postulations seraient de mauvaise qualité, ce qui témoignerait de la volonté de son époux de « saboter » ses recherches d’emploi. Il ressort toutefois du dossier (P. nos 165 et 166 du bordereau du 10 janvier 2024) qu’entre son licenciement et le dépôt de sa requête en modification, l’intimé a effectué plusieurs centaines de postulations dans son domaine de compétence, que ce soit en réponse à des annonces ou spontanément et y compris hors de [...]. Par ailleurs, toujours au regard de ces pièces, l’intimé a reçu plusieurs centaines de réponses négatives à ses postulations, effectuées sur une année et demie. N’en déplaise à l’appelante, ces éléments suffisent, au stade de la vraisemblance, à établir l’existence de recherches d’emploi sérieuses et l’absence de place de travail correspondant au pronostic posé dans l’arrêt du 26 janvier 2023. Compte tenu de la spécificité de son domaine de compétence, on ne saurait reprocher à l’intimé, comme le fait l’appelante, d’avoir candidaté auprès des mêmes entreprises à plusieurs reprises, ce d’autant plus que l’intéressé a étendu ses recherches à divers pays d’Europe. Par ailleurs, l’appelante ne peut être suivie lorsqu’elle prétend qu’un revenu correspondant au dernier salaire, de niveau suisse, perçu par l’intimé pourrait être imputé à celui-ci. Elle ne tente en effet même pas de rendre vraisemblable que l’intéressé a la possibilité concrète – en produisant par exemple des offres d’emploi – d’exercer une activité procurant un tel salaire, notoirement élevé pour la [...], dans ce pays. C’est le lieu de relever qu’on ne saurait aujourd’hui exiger de l’intimé qu’il revienne travailler en Suisse, les conditions étant autrement différentes de celles ayant présidé à la reddition de l’ordonnance du 25 mai 2022, puis de l’arrêt du 26 janvier 2023. En effet, si l’intimé venait, à l’époque, de décider de quitter la Suisse après avoir été licencié, l’intéressé réside désormais depuis plus de deux ans dans son pays d’origine, où il vit avec</w:t>
      </w:r>
    </w:p>
    <w:p>
      <w:r>
        <w:t>- 15 - sa compagne et leurs enfants communs. Or, il ne se justifie pas d’imputer un revenu hypothétique suisse au débiteur d’entretien retournant dans son pays d’origine après la séparation d’avec la mère des enfants créanciers et qui a refait sa vie dans ce pays, sans qu’un retour en Suisse, où il n’a pas d’attache autre que ses enfants qu’il voit peu, ne puisse être envisagé quelques années plus tard (TF 5A_513/2012 du 17 octobre 2012 consid. 4, in FamPra.ch 2013 p. 236). Faute pour l’appelante d’établir, ne serait-ce que sous l’angle de la vraisemblance, que l’intimé serait concrètement en mesure de réaliser des revenus lui permettant de couvrir les pensions qu’elle réclame, son moyen s’avère mal fondé. La critique de l’appelante se révèle également vaine en tant qu’elle invoque l’existence de sociétés appartenant à l’intimé. On constate premièrement que seule la société [...], créée au printemps 2024 par l’intimé, est mentionnée dans l’état de fait de l’ordonnance attaquée, lequel n’est pas critiqué – à tout le moins de lege artis (art. 311 al. 1 in initio CPC, pleinement applicable à la présente cause, cf. supra consid. 3.1) – sur ce point, aucune référence n’étant faite aux sociétés « [...] », « [...] » ou encore « [...] » (cf. appel pp. 10 et 11). S’agissant de la société [...], le président a retenu, en se fondant sur les déclarations de l’intimé à l’audience de première instance, qu’elle ne générait pas de revenus. Sur cette question, l’appelante se limite à rappeler l’existence de la société et à soutenir qu’il est peu probable qu’elle ne réalise aucun bénéfice, sans toutefois ne serait-ce que prétendre que l’intimé en tirerait des revenus lui permettant de dégager, après couverture de ses propres charges incompressibles, un disponible suffisant pour acquitter les contributions d’entretien litigieuses ; la motivation de l’appel est du reste exclusivement axée, s’agissant des ressources financières de l’intimé, sur la nécessité de lui imputer un revenu hypothétique, et non pas sur l’existence de revenus effectifs suffisants. Le grief s’avère en définitive insuffisamment motivé sur ce point.</w:t>
      </w:r>
    </w:p>
    <w:p>
      <w:r>
        <w:t>- 16 - S’ensuit le rejet du grief et la confirmation du raisonnement du président. L’attention de l’intimé est toutefois attirée sur son obligation d’étendre désormais ses recherches d’emploi à des postes sortant de son domaine de compétences et ne nécessitant aucune formation particulière, afin qu’il puisse au moins partiellement satisfaire à ses obligations d’entretien. 5. Au vu du sort réservé au grief précédent, le second moyen de l’appelante, portant sur sa propre capacité contributive – examinée par le président afin d’établir le déficit mensuel de l’intéressée, n’a pas à être traité plus avant. En effet, la suppression des contributions d’entretien litigieuses en lien avec l’absence de revenus de l’intimé prive d’objet les développements de l’appelante liés à sa propre capacité contributive, singulièrement au revenu hypothétique qu’il y aurait lieu de lui imputer ou non. 6.</w:t>
      </w:r>
    </w:p>
    <w:p>
      <w:r>
        <w:rPr>
          <w:b/>
        </w:rPr>
        <w:t>E. 5</w:t>
      </w:r>
    </w:p>
    <w:p>
      <w:r>
        <w:t>a) Le 26 mars 2024, l’intimé a saisi le président d’une requête de mesures provisionnelles, concluant en substance à ce qu’il soit constaté qu’il n’était plus en mesure de s’acquitter des pensions dues en faveur de ses enfants C.Q.________ et D.Q.________, et à ce qu’il soit libéré, dès le 1er mars 2024, de son obligation de contribuer à leur entretien. b) Au pied de ses déterminations du 7 juin 2024, l’appelante a conclu, avec suite de frais et dépens, au rejet de la requête. Par écriture du 13 juin 2024, l’intimé a persisté dans ses conclusions du 26 mars 2024. c) Le président a tenu audience le 17 juin 2024. Il a procédé à l’interrogatoire des parties.</w:t>
      </w:r>
    </w:p>
    <w:p>
      <w:r>
        <w:rPr>
          <w:b/>
        </w:rPr>
        <w:t>E. 6</w:t>
      </w:r>
    </w:p>
    <w:p>
      <w:r>
        <w:t>a) L’intimé, technicien dans l’industrie pharmaceutique (« ingénieur pharmaceutique en production »), vit en [...] avec sa compagne, l’enfant de celle-ci et leurs deux enfants communs. L’intéressé est sans emploi et ne perçoit aucun revenu depuis son licenciement, le 21 décembre 2021, de la société [...], où il exerçait en qualité de consultant à temps plein, pour un salaire mensuel de 7'822 fr. 80 net. Depuis lors, l’intimé a vainement postulé plusieurs centaines d’emplois dans son domaine de compétence, et ce dans toute l’Europe. L’intimé bénéficie du soutien de Pôle emploi dans le cadre de ses recherches d’emploi. Il a en outre créé, au mois d’avril 2024, la société [...], afin notamment de crédibiliser ses recherches d’emploi, mais ne générant, en l’état, aucun revenu.</w:t>
      </w:r>
    </w:p>
    <w:p>
      <w:r>
        <w:t>- 7 - b) Le 12 mai 2021, l’ex-épouse de l’intimé, mère de ses enfants vivant en [...], a fait notifier à l’intéressé un « commandement à péril de saisie-exécution immobilière » en lien avec l’arriéré de pensions accumulé en faveur des enfants précités. Le 4 août 2022, dans le cadre de cette procédure, l’immeuble dont l’intimé était propriétaire en [...] a été vendu au prix de 245'000 euros. Il ressort d’un courriel du 9 août 2022 de Me [...], notaire, que ce prix de vente a servi à désintéresser les créanciers de l’intimé sis en [...]. Le décompte établi le 3 août 2022 par la notaire susnommée fait état, notamment, du remboursement d’un crédit à hauteur de 181'804.07 euros, de cotisations d’assurance par 19'235.94, d’arriérés de contributions d’entretien à hauteur de 38'804.07 euros et de 921.13 euros d’honoraires de l’agent immobilier chargé de la vente.</w:t>
      </w:r>
    </w:p>
    <w:p>
      <w:r>
        <w:rPr>
          <w:b/>
        </w:rPr>
        <w:t>E. 6.1</w:t>
      </w:r>
    </w:p>
    <w:p>
      <w:r>
        <w:t>Au vu de ce qui précède, l’appel, manifestement mal fondé, doit être rejeté, dans la mesure de sa recevabilité, en application de l’art. 312 al. 1 in fine CPC.</w:t>
      </w:r>
    </w:p>
    <w:p>
      <w:r>
        <w:rPr>
          <w:b/>
        </w:rPr>
        <w:t>E. 6.2</w:t>
      </w:r>
    </w:p>
    <w:p>
      <w:r>
        <w:t>Les conditions de l’art. 117 CPC étant remplies, le bénéfice de l’assistance judiciaire doit être accordé à l’appelante pour la procédure d’appel et Me Marie-Pomme Moinat, qui ne représente plus l’appelante, désignée en qualité de conseil d’office pour la période du 25 octobre 2024 au 8 janvier 2025.</w:t>
      </w:r>
    </w:p>
    <w:p>
      <w:r>
        <w:rPr>
          <w:b/>
        </w:rPr>
        <w:t>E. 6.3</w:t>
      </w:r>
    </w:p>
    <w:p>
      <w:r>
        <w:t>Les frais judiciaires de deuxième instance, arrêtés à 800 fr., soit 600 fr. d’émolument de décision (art. 65 al. 2 TFJC [tarif des frais judiciaires civils du 28 septembre 2010 ; BLV 270.11.5]) et 200 fr. pour l’ordonnance sur effet suspensif (art. 7 al. 1 et 60 TFJC par analogie),</w:t>
      </w:r>
    </w:p>
    <w:p>
      <w:r>
        <w:t>- 17 - seront provisoirement mis à la charge de l’Etat pour l’appelante, qui succombe (art. 106 al. 1 et 122 al. 1 let. b CPC). L’intimé a droit à de pleins dépens pour l’activité déployée par son conseil d’office en lien avec la requête d’effet suspensif contenue dans l’appel, sur laquelle il a été invité à se déterminer. Il n’y a pas lieu à l’allocation de dépens de deuxième instance, l’intimé n’ayant pas été invité à se déterminer sur le fond de l’appel. La charge des dépens relatifs à la procédure d’effet suspensif pouvant être évaluée à 1'530 fr. (art. 3 al. 2, 7, 19 al. 2 et 20 al. 2 TDC [tarif des dépens en matière civile du 23 novembre 2010 ; BLV 270.11.6]), l’appelante versera cette somme Me Loraine Michaud Champendal, conseil d’office de l’intimé (TF 4A_106/2021 du 8 août 2022 consid. 3.4).</w:t>
      </w:r>
    </w:p>
    <w:p>
      <w:r>
        <w:rPr>
          <w:b/>
        </w:rPr>
        <w:t>E. 6.4.1</w:t>
      </w:r>
    </w:p>
    <w:p>
      <w:r>
        <w:t>Le conseil d’office a droit au remboursement de ses débours et à un défraiement équitable,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6.4.2</w:t>
      </w:r>
    </w:p>
    <w:p>
      <w:r>
        <w:t>L’indemnité due à Me Moinat, qui ne représente plus l’appelante, sera arrêtée par décision séparée.</w:t>
      </w:r>
    </w:p>
    <w:p>
      <w:r>
        <w:rPr>
          <w:b/>
        </w:rPr>
        <w:t>E. 6.4.3</w:t>
      </w:r>
    </w:p>
    <w:p>
      <w:r>
        <w:t>Me Michaud Champendal, conseil d’office de l’intimé, indique avoir consacré 5 heures et 41 minutes au dossier. Ce décompte comprend 2 heures et 3 minutes d’entretiens téléphoniques avec le client, alors même que l’intimé n’a été invité à procéder que sur la requête d’effet suspensif. Si l’on peut comprendre – compte tenu du bref délai légal alors applicable pour répondre à l’appel – que des échanges sur le fond de l’affaire soient intervenus de manière anticipée entre l’intimé et son conseil, il n’en demeure pas moins que le temps annoncé à titre d’échanges téléphoniques avec le client est excessif, l’avocat d’office ne</w:t>
      </w:r>
    </w:p>
    <w:p>
      <w:r>
        <w:t>- 18 - devant pas être rétribué pour des activités qui ne sont pas nécessaires à la défense de son client ou qui consistent en un soutien moral (TF 5D_4/2016 du 26 février 2016). Pour le surplus, les opérations annoncées ne prêtent pas le flanc à la critique. Au vu de ce qui précède, il se justifie de réduire le temps annoncé par Me Michaud Champendal à 5 heures au total. Il s’ensuit que son indemnité doit être arrêtée à 992 fr. 40, arrondis à 993 fr. (900 fr. d’honoraires [180 fr. x 5], débours par 18 fr. (2 % de 900 fr.) et TVA (art. 2 al. 3 RAJ) à 8,1 % sur le tout, par 74 fr. 40). Cette indemnité sera versée à Me Michaud Champendal si les dépens de deuxième instance ne peuvent être obtenus (art. 122 al. 2 CPC).</w:t>
      </w:r>
    </w:p>
    <w:p>
      <w:r>
        <w:rPr>
          <w:b/>
        </w:rPr>
        <w:t>E. 6.5</w:t>
      </w:r>
    </w:p>
    <w:p>
      <w:r>
        <w:t>Les bénéficiaires de l’assistance judiciaire sont tenus au remboursement de l’indemnité allouée à leurs conseils d’office respectifs ainsi que, pour l’appelante, des frais judiciaires de deuxième instance, provisoirement laissés à la charge de l’Etat, dès qu’ils seront en mesure de le faire (art. 123 CPC), ce remboursement n’étant dû que sous réserve du recouvrement des dépens (art. 122 al. 2 CPC) s’agissant de l’intimé. Il incombe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dans la mesure où il est recevable. II. L’ordonnance est confirmée.</w:t>
      </w:r>
    </w:p>
    <w:p>
      <w:r>
        <w:t>- 19 - III. La requête d’assistance judiciaire de l’appelante P.________ est admise, Me Marie-Pomme Moinat étant désignée en qualité de conseil d’office pour la période du 25 octobre 2024 au 8 janvier 2025. IV. Les frais judiciaires de deuxième instance, arrêtés à 800 fr. (huit cents francs), sont provisoirement mis à la charge de l’Etat pour l’appelante P.________. V. L’appelante P.________ doit verser à Me Loraine Michaud Champendal, conseil d’office de l’intimé B.Q.________, la somme de 1'530 fr. (mille cinq cent trente francs) à titre de dépens de deuxième instance. Pour le cas où Me Loraine Michaud Champendal ne pourrait pas recouvrer les dépens, son indemnité d’office est arrêtée à 993 fr. (neuf cent nonante-trois francs), débours et TVA compris. VI.L’indemnité de Me Marie-Pomme Moinat sera arrêtée par décision séparée. VII. Les bénéficiaires de l’assistance judiciaire rembourseront à l’Etat, sous réserve du recouvrement des dépens s’agissant de l’intimé B.Q.________, les frais judiciaires de deuxième instance, respectivement l’indemnité allouée au conseil d’office, dès qu’ils seront en mesure de le faire. VIII. L’arrêt est exécutoire. La juge unique : La greffière :</w:t>
      </w:r>
    </w:p>
    <w:p>
      <w:r>
        <w:t>- 20 - Du Le présent arrêt, dont la rédaction a été approuvée à huis clos, est notifié en expédition complète à : - Me Vanessa Lucas (pour P.________), - Me Loraine Michaud Champendal (pour B.Q.________), et communiqué, par l’envoi de photocopies, à : - Me Marie-Pomme Moinat (extrait)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L’appelante vit avec les enfants communs des parties. Elle est sans emploi et émarge à l’aide sociale. Titulaire d’un doctorat en physique, neuroscience et neuroimagerie obtenu en [...], elle maîtrise parfaitement le géorgien, l’anglais et le suédois et dispose de bonnes connaissances en russe, ainsi que de connaissances de base en allemand. Entre le 15 novembre 2023 et le 14 novembre 2024, l’appelante a bénéficié d’une mesure de réinsertion socioprofessionnelle [...], dans le but de lui permettre de trouver un emploi en Suisse dans son domaine de compétence. Dite mesure comprenait le suivi de stages et de cours de français à raison de cinq demi-journées par semaine.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