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TD22.030024 vom 27. Mai 2024</w:t>
      </w:r>
    </w:p>
    <w:p>
      <w:r>
        <w:t>VD Tribunal cantonal, 2024-05-27, FR</w:t>
      </w:r>
    </w:p>
    <w:p>
      <w:r>
        <w:rPr>
          <w:b/>
        </w:rPr>
        <w:t xml:space="preserve">Quelle: </w:t>
      </w:r>
      <w:r>
        <w:t>https://mcp.opencaselaw.ch/entscheid/vd_gerichte_TD22.030024</w:t>
      </w:r>
    </w:p>
    <w:p>
      <w:r>
        <w:t>FR: VD_GERICHTE TD22.030024 du 27 mai 2024</w:t>
      </w:r>
    </w:p>
    <w:p>
      <w:r>
        <w:t>IT: VD_GERICHTE TD22.030024 del 27 maggio 2024</w:t>
      </w:r>
    </w:p>
    <w:p>
      <w:pPr>
        <w:pStyle w:val="Heading2"/>
      </w:pPr>
      <w:r>
        <w:t>Erwägungen</w:t>
      </w:r>
    </w:p>
    <w:p>
      <w:r>
        <w:rPr>
          <w:b/>
        </w:rPr>
        <w:t>E. 14</w:t>
      </w:r>
    </w:p>
    <w:p>
      <w:r>
        <w:t>jours de cours pratiques et 56 jours de cours théoriques sur 15 mois, nécessite selon toute vraisemblance une réduction momentanée du taux d’activité. La solution adoptée par la présidente, qui refuse d’exiger de l’intimée plus qu’une activité à 80 % pendant qu’elle poursuit cette formation, est donc adéquate et doit être confirmée. En l’état et jusqu’à la fin de la formation de l’intimée, il n’y a pas lieu d’imputer à celle-ci un revenu hypothétique correspondant à une activité à 100 %. Il n’en ira autrement que lorsqu’ayant terminé sa formation, elle aura eu l’occasion de faire valoir son nouveau titre auprès des employeurs de son secteur d’activité.</w:t>
      </w:r>
    </w:p>
    <w:p>
      <w:r>
        <w:t>- 25 - 3.7 Les autres moyens de l’appelant ne se rapportent pas à des modifications de circonstances qui justifieraient une nouvelle fixation, mais portent sur l’adaptation des postes des charges des parents et de l’enfant, soit sur la dernière étape du raisonnement en cas d’admission du principe de la requête de modification. Il n’y a dès lors pas lieu de se prononcer sur ces moyens. On précisera à toutes fins utiles qu’il est sans importance que la contribution d’entretien de l’enfant ait, peut-être, été fixée dans la convention d’une manière non conforme aux règles actuellement suivies par la jurisprudence, le changement de droit ou de jurisprudence ne constituant pas un motif de nouvelle fixation. 4. 4.1. En définitive, l’appel doit être rejeté selon le mode prévu à l’art. 312 al. 1 in fine CPC. 4.2 Les frais judiciaires de deuxième instance, arrêtés à 600 fr. (art. 65 al. 2 TFJC [tarif des frais judiciaires civils du 28 septembre 2010 ; BLV 270.11.5]), seront mis à la charge de l’appelant, qui succombe (art. 106 al. 1). 4.3 Il n’est pas alloué de dépens de deuxième instance, l’intimée n’ayant pas été invitée à procéder. Par ces motifs, le Juge unique de la Cour d’appel civile prononce : I. L’appel est rejeté. II. L’ordonnance est confirmée.</w:t>
      </w:r>
    </w:p>
    <w:p>
      <w:r>
        <w:t>- 26 - III. Les frais judiciaires de deuxième instance, arrêtés à 600 fr. (six cents francs), sont mis à la charge de l’appelant T.________. IV. L’arrêt est exécutoire. Le juge unique : La greffière : Du Le présent arrêt, dont la rédaction a été approuvée à huis clos, est notifié en expédition complète à : - Me Céline Jarry-Lacombe (pour T.________), - Me Jean-Marc Courvoisier (pour J.________) - M. [...] (extrait), et communiqué, par l'envoi de photocopies, à : - Mme la Présidente du Tribunal civil d’arrondissement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- 27 -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