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TD22.012217 vom 16. Juli 2025</w:t>
      </w:r>
    </w:p>
    <w:p>
      <w:r>
        <w:t>VD Tribunal cantonal, 2025-07-16, FR</w:t>
      </w:r>
    </w:p>
    <w:p>
      <w:r>
        <w:rPr>
          <w:b/>
        </w:rPr>
        <w:t xml:space="preserve">Quelle: </w:t>
      </w:r>
      <w:r>
        <w:t>https://mcp.opencaselaw.ch/entscheid/vd_gerichte_TD22.012217</w:t>
      </w:r>
    </w:p>
    <w:p>
      <w:r>
        <w:t>FR: VD_GERICHTE TD22.012217 du 16 juillet 2025</w:t>
      </w:r>
    </w:p>
    <w:p>
      <w:r>
        <w:t>IT: VD_GERICHTE TD22.012217 del 16 luglio 2025</w:t>
      </w:r>
    </w:p>
    <w:p>
      <w:pPr>
        <w:pStyle w:val="Heading2"/>
      </w:pPr>
      <w:r>
        <w:t>Erwägungen</w:t>
      </w:r>
    </w:p>
    <w:p>
      <w:r>
        <w:rPr>
          <w:b/>
        </w:rPr>
        <w:t>E. 2</w:t>
      </w:r>
    </w:p>
    <w:p>
      <w:r>
        <w:t>En définitive, la requête d’effet suspensif doit être rejetée. Il sera statué sur les frais judiciaires et les dépens dans le cadre de l’arrêt sur appel à intervenir (cf. art. 104 al. 3 CPC).</w:t>
      </w:r>
    </w:p>
    <w:p>
      <w:r>
        <w:t>- 5 - Par ces motifs, le Juge unique de la Cour d’appel civile, prononce : I. La requête d’effet suspensif est rejetée. II. Il sera statué sur les frais judiciaires et les dépens de la présente ordonnance dans le cadre de l’arrêt sur appel à intervenir. Le juge unique : La greffière : Du La présente ordonnance, dont la rédaction a été approuvée à huis clos, est notifiée à : - Me Aurélien Ghose (pour A.O.________), - Me Mihaela Verlooven (pour B.O.________), et communiquée, par l’envoi de photocopies, à : - Mme la Présidente du Tribunal civil de l’arrondissement de l’Est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w:t>
      </w:r>
    </w:p>
    <w:p>
      <w:r>
        <w:t>- 6 -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