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TD21.044573 vom 1. April 2025</w:t>
      </w:r>
    </w:p>
    <w:p>
      <w:r>
        <w:t>VD Tribunal cantonal, 2025-04-01, FR</w:t>
      </w:r>
    </w:p>
    <w:p>
      <w:r>
        <w:rPr>
          <w:b/>
        </w:rPr>
        <w:t xml:space="preserve">Quelle: </w:t>
      </w:r>
      <w:r>
        <w:t>https://mcp.opencaselaw.ch/entscheid/vd_gerichte_TD21.044573</w:t>
      </w:r>
    </w:p>
    <w:p>
      <w:r>
        <w:t>FR: VD_GERICHTE TD21.044573 du 1 avril 2025</w:t>
      </w:r>
    </w:p>
    <w:p>
      <w:r>
        <w:t>IT: VD_GERICHTE TD21.044573 del 1 aprile 2025</w:t>
      </w:r>
    </w:p>
    <w:p>
      <w:pPr>
        <w:pStyle w:val="Heading2"/>
      </w:pPr>
      <w:r>
        <w:t>Erwägungen</w:t>
      </w:r>
    </w:p>
    <w:p>
      <w:r>
        <w:rPr>
          <w:b/>
        </w:rPr>
        <w:t>E. 1</w:t>
      </w:r>
    </w:p>
    <w:p>
      <w:r>
        <w:t>Le 16 décembre 2021, la recourante a déposé une demande unilatérale de divorce contre l’intimé et cette procédure est actuellement pendante devant le Tribunal civil de l’arrondissement de Lausanne. Me Ana Rita Perez représente l’intimé dans le cadre de cette procédure de divorce.</w:t>
      </w:r>
    </w:p>
    <w:p>
      <w:r>
        <w:rPr>
          <w:b/>
        </w:rPr>
        <w:t>E. 1.1</w:t>
      </w:r>
    </w:p>
    <w:p>
      <w:r>
        <w:t>Selon l’art. 319 let. b ch. 1 CPC (Code de procédure civile suisse du 19 décembre 2008 ; RS 272),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18 mars 2025/63 ; Tappy, Commentaire romand, Code de procédure civile [ci-après : CR-CPC], 2e éd., Bâle 2019, n. 3 ad art. 110 CPC). La décision sur les frais au sens de l’art. 110 CPC est une autre décision (Jeandin, CR-CPC, n. 15 ad art. 319 CPC).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1er janvier 2025 [RO 2023 491]).</w:t>
      </w:r>
    </w:p>
    <w:p>
      <w:r>
        <w:rPr>
          <w:b/>
        </w:rPr>
        <w:t>E. 1.2</w:t>
      </w:r>
    </w:p>
    <w:p>
      <w:r>
        <w:t>En l’occurrence, déposé en temps utile par une partie ayant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w:t>
      </w:r>
    </w:p>
    <w:p>
      <w:r>
        <w:t>- 5 - paraisse concevable, voire préférable ; encore faut-il qu'elle se révèle arbitraire non seulement dans ses motifs, mais aussi dans son résultat (ATF 147 I 241 consid. 6.2.1 ; ATF 144 1113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w:t>
      </w:r>
    </w:p>
    <w:p>
      <w:r>
        <w:rPr>
          <w:b/>
        </w:rPr>
        <w:t>E. 2</w:t>
      </w:r>
    </w:p>
    <w:p>
      <w:r>
        <w:t>En parallèle, les enfants des parties – [...] et [...] – ont intenté une poursuite à l’encontre de la recourante pour des arriérés de pensions relatifs à l'époque où leur lieu de résidence avait été transféré auprès de leur père. La recourante s’est opposée à cette poursuite. [...] et [...], représentés par Me Ana Rita Perez, ont requis la mainlevée de l’opposition devant le Juge de paix du district de Lausanne.</w:t>
      </w:r>
    </w:p>
    <w:p>
      <w:r>
        <w:rPr>
          <w:b/>
        </w:rPr>
        <w:t>E. 3</w:t>
      </w:r>
    </w:p>
    <w:p>
      <w:r>
        <w:t>Dans le cadre de la procédure de divorce, par requête du 12 juin 2024, la recourante a conclu à ce qu'il soit fait interdiction à Me Ana Rita Perez, conseil de longue date de l’intimé, de postuler. Selon elle, cette avocate était confrontée à un conflit d'intérêts au sens de l'art. 12 al. 1 LLCA, puisqu'elle représentait à la fois le père dans la procédure de divorce et les enfants dans la procédure de mainlevée, ces trois parties ayant des intérêts antagonistes. Par déterminations du 14 novembre 2024, Me Ana Rita Perez a conclu au rejet de cette requête. En d roit : 1.</w:t>
      </w:r>
    </w:p>
    <w:p>
      <w:r>
        <w:t>- 4 -</w:t>
      </w:r>
    </w:p>
    <w:p>
      <w:r>
        <w:rPr>
          <w:b/>
        </w:rPr>
        <w:t>E. 3.1</w:t>
      </w:r>
    </w:p>
    <w:p>
      <w:r>
        <w:t>La recourante fait valoir, à titre principal, qu'aucun dépens n'aurait dû être alloué à l’intimé, car la requête en interdiction de postuler était dirigée contre Me Ana Rita Perez personnellement, qu'elle s'était déterminée en son nom exclusivement et que l’intimé n'était pas concerné par la question de la gestion des conflits d'intérêt, la LLCA ne lui étant pas applicable. Aussi, P.________ n’étant pas directement concerné par cette procédure d’interdiction de postuler, il ne pouvait pas être « intimé » à cette procédure. Selon la recourante, le premier juge aurait dès lors violé l'art. 106 CPC en attribuant des dépens à une partie qui n’avait pas obtenu gain de cause. La recourante ajoute que, du reste, Me Perez n'ayant pas agi par l'intermédiaire d'un conseil, elle n'aurait également pas droit à des dépens.</w:t>
      </w:r>
    </w:p>
    <w:p>
      <w:r>
        <w:rPr>
          <w:b/>
        </w:rPr>
        <w:t>E. 3.2.1</w:t>
      </w:r>
    </w:p>
    <w:p>
      <w:r>
        <w:t>L'art. 12 let. c LLCA prescrit à l'avocat d'éviter tout conflit entre les intérêts de son client et ceux des personnes avec lesquelles il est en relation sur le plan professionnel ou privé. Même si cela ne ressort pas</w:t>
      </w:r>
    </w:p>
    <w:p>
      <w:r>
        <w:t>- 6 - explicitement du texte légal, cette disposition impose également d'éviter les conflits entre les propres intérêts de l'avocat et ceux de ses clients. Cette règle vise avant tout à protéger les intérêts des clients de l'avocat, en leur garantissant une défense exempte de conflit d'intérêts, et tend également à garantir la bonne marche du procès, en particulier en s'assurant qu'aucun avocat ne soit restreint dans sa capacité de défendre l'un de ses clients (TF 5A_124/2022 du 26 avril 2022 consid. 4.1.1). L'art. 12 LLCA fait partie de la section 3 de ladite loi, qui est intitulée « règles professionnelles et surveillance disciplinaire ». Les sanctions disciplinaires sont, pour leur part, détaillées à l'art. 17 LLCA. Celui qui, en violation des obligations énoncées à l'art. 12 LLCA, accepte ou poursuit la défense d'intérêts contradictoires doit se voir dénier par l'autorité la capacité de postuler (ATF 138 II 162 consid. 2.4 et 2.5). Dans une procédure civile pendante, l'autorité qui doit statuer sur la capacité de postuler de l'avocat est le tribunal compétent sur le fond de la cause ou, sur délégation, un membre de ce même tribunal (art. 124 al. 2 CPC), à l'exclusion de l'autorité de surveillance (ATF 147 III 351 consid. 6.3). L'exclusion de l'avocat des débats au motif d’un conflit d’intérêt n'est que la résultante du défaut de capacité de postuler de l'avocat et ne constitue pas une mesure disciplinaire au sens de l'art. 17 LLCA, ce qui ressort d'ailleurs de la simple lecture de cette disposition qui ne mentionne pas cette sanction au titre des mesures disciplinaires (ATF 138 II 162 consid. 2.5.1). La décision qui prononce une telle interdiction prive le justiciable de l'avocat de son choix et le touche ainsi directement et concrètement. Il en va de même de la décision qui conclut à l'absence d'un conflit d'intérêts et contraint donc le dénonciateur à voir un ancien mandataire représenter la partie adverse. Le justiciable a, dès lors, un intérêt digne de protection au sens de l'art. 89 al. 1 let. c LTF (loi du 17 juin 2005 sur le Tribunal fédéral ; RS 173.110 ; ATF 138 II 162 consid. 2.5.2).</w:t>
      </w:r>
    </w:p>
    <w:p>
      <w:r>
        <w:rPr>
          <w:b/>
        </w:rPr>
        <w:t>E. 3.2.2</w:t>
      </w:r>
    </w:p>
    <w:p>
      <w:r>
        <w:t>Aux termes de l'art. 106 CPC, les frais – soit les frais judiciaires et les dépens (art. 95 al. 1 CPC) – sont mis à la charge de la partie succombante. Celle-ci est le demandeur lorsque le tribunal n'entre pas en</w:t>
      </w:r>
    </w:p>
    <w:p>
      <w:r>
        <w:t>- 7 - matière et en cas de désistement d'action ; elle est le défendeur en cas d'acquiescement (al. 1). Lorsqu'aucune des parties n'obtient entièrement gain de cause, les frais sont répartis selon le sort de la cause (al. 2).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CR-CPC, nn. 12 et 14 ad art. 106 CPC). Les dépens sont une indemnité de procédure mise à la charge d'un plaideur en faveur de l'autre pour le dédommager des dépenses ou du manque à gagner occasionné par le procès (Tappy, CR-CPC,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w:t>
      </w:r>
    </w:p>
    <w:p>
      <w:r>
        <w:rPr>
          <w:b/>
        </w:rPr>
        <w:t>E. 3.3</w:t>
      </w:r>
    </w:p>
    <w:p>
      <w:r>
        <w:t>En l’occurrence, la recourante perd de vue la jurisprudence en matière de capacité de postuler de l’avocat lorsqu’une telle incapacité est soulevée au cours d’un procès pendant (cf. consid. 3.2.1 supra), tel que cela est le cas en l’espèce. Il s’agit en effet d’une question qui concerne la partie représentée – soit l’intimé in casu –, qui a un intérêt direct et concret à pouvoir agir par l’intermédiaire de l’avocat de son choix, et qui ne relève pas de la procédure disciplinaire de l’art. 17 LLCA qui n’intéresserait que l’avocat, tel que semble le soutenir la recourante. Cela est encore confirmé par le fait qu’en l’espèce, c'est en qualité de mandataire de l’intimé que l'éventuel conflit d'intérêts allégué à l'encontre de Me Ana Rita Perez devait être examiné. Il est par ailleurs constant que la précitée agit de longue date en qualité de mandataire professionnel pour le compte de l’intimé dans le cadre de la procédure de divorce au fond. Aussi, même si celle-ci s'est déterminée à titre personnel sur la question du conflit d'intérêts, il est manifeste qu’elle a continué de défendre les intérêts de l’intimé dans la procédure accessoire sur sa capacité de postuler, afin qu’il puisse continuer à être assisté par son</w:t>
      </w:r>
    </w:p>
    <w:p>
      <w:r>
        <w:t>- 8 - conseil de choix. Au sens de l’art. 106 al. 1 CPC, c’est dès lors bien la recourante (dont la requête du 12 juin 2024 a été rejetée) qui est la partie succombante et l’intimé, partie à la procédure représentée par un avocat, qui a obtenu gain de cause et à qui des dépens devaient dès lors être alloués. Par conséquent, le moyen doit être rejeté.</w:t>
      </w:r>
    </w:p>
    <w:p>
      <w:r>
        <w:rPr>
          <w:b/>
        </w:rPr>
        <w:t>E. 4.1</w:t>
      </w:r>
    </w:p>
    <w:p>
      <w:r>
        <w:t>A titre subsidiaire, la recourante soutient que le montant des dépens serait exagéré, les déterminations du 14 novembre 2024 ne faisant que deux pages, et devrait être ramené à 200 francs.</w:t>
      </w:r>
    </w:p>
    <w:p>
      <w:r>
        <w:rPr>
          <w:b/>
        </w:rPr>
        <w:t>E. 4.2</w:t>
      </w:r>
    </w:p>
    <w:p>
      <w:r>
        <w:t>Conformément à l’art. 9 al. 1 TDC (tarif des dépens en matière civile ; BLV 270.11.6), dans les contestations portant sur des affaires non patrimoniales, le défraiement est de 600 à 50'000 fr. en première instance, en fonction de l'importance et de la difficulté de la cause ainsi que selon le travail effectué.</w:t>
      </w:r>
    </w:p>
    <w:p>
      <w:r>
        <w:rPr>
          <w:b/>
        </w:rPr>
        <w:t>E. 4.3</w:t>
      </w:r>
    </w:p>
    <w:p>
      <w:r>
        <w:t>En l’occurrence, on relèvera tout d’abord qu’il n’y a pas lieu de suivre le premier juge qui a appliqué l’art. 6 TDC, soit le tarif en matière de procédure sommaire applicable dans les contestations portant sur des affaires patrimoniales, et l’art. 20 al. 2 TDC, soit la disposition relative aux cas spéciaux. Il est en effet question de la capacité de postuler d’un avocat dans le cadre d’une procédure matrimoniale en divorce (cf. not. TF 5A_547/2017 du 26 octobre 2017 consid. 1 sur le caractère non pécuniaire dans son ensemble des procédures relevant du droit de la famille), de sorte que la contestation porte sur une affaire non patrimoniale. Partant, il convient de se référer à l’art. 9 al. 1 TDC. Cela n’a toutefois aucune incidence sur l’issue du litige. En effet, il y a lieu de confirmer, par substitution de motifs, les dépens fixés à 800 fr. par le président, au regard du tarif ressortant de l’art. 9 TDC et du</w:t>
      </w:r>
    </w:p>
    <w:p>
      <w:r>
        <w:t>- 9 - fait que ce montant correspond à une rémunération horaire équitable pour une détermination de plusieurs pages.</w:t>
      </w:r>
    </w:p>
    <w:p>
      <w:r>
        <w:rPr>
          <w:b/>
        </w:rPr>
        <w:t>E. 5</w:t>
      </w:r>
    </w:p>
    <w:p>
      <w:r>
        <w:t>En définitive, le recours, manifestement infondé, doit être rejeté, selon le mode procédural de l’art. 322 al. 1 CPC, et l’ordonnance confirmée. Les frais judiciaires de deuxième instance, arrêtés à 100 fr. (art. 69 al. 1 et 70 al. 3 TFJC [tarif des frais judiciaires civils du 28 septembre 2010 ; BLV 270.11.5]), doivent être mis à la charge de la recourante, qui succombe (art. 106 al. 1 CPC). Il n’y a pas lieu à l’allocation de dépens, l’intimé n’ayant pas été invité à se déterminer. Par ces motifs, la Chambre des recours civile du Tribunal cantonal, prononce : I. Le recours est rejeté. II. L’ordonnance est confirmée. III. Les frais judiciaires de deuxième instance, arrêtés à 100 fr. (cent francs), sont mis à la charge de la recourante L.________. IV. L’arrêt est exécutoire. La présidente : La greffière :</w:t>
      </w:r>
    </w:p>
    <w:p>
      <w:r>
        <w:t>- 10 - Du L'arrêt qui précède, dont la rédaction a été approuvée à huis clos, est notifié à : - Me Laurent Schuler (pour Mme L.________), - Me Ana Rita Perez (pour M.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